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zapata_8k.htm"/>
      <w:bookmarkStart w:id="1" w:name="kszapata_8k"/>
      <w:bookmarkEnd w:id="0"/>
      <w:bookmarkEnd w:id="1"/>
      <w:r>
        <w:rPr>
          <w:caps w:val="false"/>
          <w:smallCaps w:val="false"/>
        </w:rPr>
        <w:t> </w:t>
      </w:r>
    </w:p>
    <w:p>
      <w:pPr>
        <w:pStyle w:val="TextBody"/>
        <w:bidi w:val="0"/>
        <w:spacing w:before="20" w:after="20"/>
        <w:jc w:val="left"/>
        <w:rPr>
          <w:bdr w:val="single" w:sz="24" w:space="1" w:color="000000"/>
        </w:rPr>
      </w:pPr>
      <w:r>
        <w:rPr>
          <w:bdr w:val="single" w:sz="24" w:space="1" w:color="000000"/>
        </w:rPr>
        <w:t> </w:t>
      </w:r>
    </w:p>
    <w:p>
      <w:pPr>
        <w:pStyle w:val="TextBody"/>
        <w:bidi w:val="0"/>
        <w:spacing w:before="20" w:after="20"/>
        <w:jc w:val="left"/>
        <w:rPr>
          <w:bdr w:val="single" w:sz="8" w:space="1" w:color="000000"/>
        </w:rPr>
      </w:pPr>
      <w:r>
        <w:rPr>
          <w:bdr w:val="single" w:sz="8"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730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July 30,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C_edei--EntityRegistrantName_c2026"/>
      <w:bookmarkEnd w:id="4"/>
      <w:r>
        <w:rPr>
          <w:rFonts w:ascii="Times New Roman;Times;Serif" w:hAnsi="Times New Roman;Times;Serif"/>
          <w:b/>
          <w:i w:val="false"/>
          <w:caps w:val="false"/>
          <w:smallCaps w:val="false"/>
          <w:sz w:val="28"/>
        </w:rPr>
        <w:t>ZAPATA QUANTUM,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0730"/>
            <w:bookmarkEnd w:id="6"/>
            <w:r>
              <w:rPr>
                <w:rFonts w:ascii="Times New Roman;Times;Serif" w:hAnsi="Times New Roman;Times;Serif"/>
                <w:b/>
                <w:sz w:val="20"/>
              </w:rPr>
              <w:t>001-41218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98-1578373</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6 Liberty Square, </w:t>
      </w:r>
      <w:bookmarkStart w:id="9" w:name="xdx_901_edei--EntityAddressAddressLine2_"/>
      <w:bookmarkEnd w:id="9"/>
      <w:r>
        <w:rPr>
          <w:rFonts w:ascii="Times New Roman;Times;Serif" w:hAnsi="Times New Roman;Times;Serif"/>
          <w:b/>
          <w:i w:val="false"/>
          <w:caps w:val="false"/>
          <w:smallCaps w:val="false"/>
          <w:sz w:val="20"/>
        </w:rPr>
        <w:t>#2488</w:t>
      </w:r>
    </w:p>
    <w:p>
      <w:pPr>
        <w:pStyle w:val="TextBody"/>
        <w:bidi w:val="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Boston, </w:t>
      </w:r>
      <w:bookmarkStart w:id="11" w:name="xdx_90F_edei--EntityAddressStateOrProvin"/>
      <w:bookmarkEnd w:id="11"/>
      <w:r>
        <w:rPr>
          <w:rFonts w:ascii="Times New Roman;Times;Serif" w:hAnsi="Times New Roman;Times;Serif"/>
          <w:b/>
          <w:i w:val="false"/>
          <w:caps w:val="false"/>
          <w:smallCaps w:val="false"/>
          <w:sz w:val="20"/>
        </w:rPr>
        <w:t xml:space="preserve">MA </w:t>
      </w:r>
      <w:bookmarkStart w:id="12" w:name="xdx_90F_edei--EntityAddressPostalZipCode"/>
      <w:bookmarkEnd w:id="12"/>
      <w:r>
        <w:rPr>
          <w:rFonts w:ascii="Times New Roman;Times;Serif" w:hAnsi="Times New Roman;Times;Serif"/>
          <w:b/>
          <w:i w:val="false"/>
          <w:caps w:val="false"/>
          <w:smallCaps w:val="false"/>
          <w:sz w:val="20"/>
        </w:rPr>
        <w:t>02109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5_edei--CityAreaCode_c20260730__20"/>
      <w:bookmarkEnd w:id="13"/>
      <w:r>
        <w:rPr>
          <w:rFonts w:ascii="Times New Roman;Times;Serif" w:hAnsi="Times New Roman;Times;Serif"/>
          <w:b/>
          <w:i w:val="false"/>
          <w:caps w:val="false"/>
          <w:smallCaps w:val="false"/>
          <w:sz w:val="20"/>
          <w:shd w:fill="FFFFFF" w:val="clear"/>
        </w:rPr>
        <w:t xml:space="preserve">(857) </w:t>
      </w:r>
      <w:bookmarkStart w:id="14" w:name="xdx_904_edei--LocalPhoneNumber_c20260730"/>
      <w:bookmarkEnd w:id="14"/>
      <w:r>
        <w:rPr>
          <w:rFonts w:ascii="Times New Roman;Times;Serif" w:hAnsi="Times New Roman;Times;Serif"/>
          <w:b/>
          <w:i w:val="false"/>
          <w:caps w:val="false"/>
          <w:smallCaps w:val="false"/>
          <w:sz w:val="20"/>
          <w:shd w:fill="FFFFFF" w:val="clear"/>
        </w:rPr>
        <w:t>367-9002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and Former Address)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registrant under any of the following provisions:</w:t>
      </w:r>
    </w:p>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30"/>
        <w:gridCol w:w="8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9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230"/>
        <w:gridCol w:w="88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2_edei--SolicitingMaterial_c202607"/>
            <w:bookmarkEnd w:id="16"/>
            <w:r>
              <w:rPr/>
              <w:t>☐</w:t>
            </w:r>
          </w:p>
        </w:tc>
        <w:tc>
          <w:tcPr>
            <w:tcW w:w="8825" w:type="dxa"/>
            <w:tcBorders/>
            <w:vAlign w:val="center"/>
          </w:tcPr>
          <w:p>
            <w:pPr>
              <w:pStyle w:val="TableContents"/>
              <w:bidi w:val="0"/>
              <w:spacing w:before="0" w:after="283"/>
              <w:jc w:val="left"/>
              <w:rPr/>
            </w:pPr>
            <w:r>
              <w:rPr/>
              <w:t>Soliciting material pursuant to Rule 14a-12(b)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A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sz w:val="20"/>
              </w:rPr>
            </w:pPr>
            <w:bookmarkStart w:id="19" w:name="xdx_906_edei--Security12gTitle_c20260730"/>
            <w:bookmarkEnd w:id="19"/>
            <w:r>
              <w:rPr>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D_edei--TradingSymbol_c20260730__2"/>
            <w:bookmarkEnd w:id="20"/>
            <w:r>
              <w:rPr>
                <w:sz w:val="20"/>
              </w:rPr>
              <w:t>ZPTA</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r>
              <w:rPr>
                <w:sz w:val="20"/>
              </w:rPr>
              <w:t>OTCQB</w:t>
            </w:r>
          </w:p>
        </w:tc>
      </w:tr>
    </w:tbl>
    <w:p>
      <w:pPr>
        <w:pStyle w:val="TextBody"/>
        <w:bidi w:val="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ind w:left="749" w:right="0" w:hanging="0"/>
        <w:jc w:val="both"/>
        <w:rPr>
          <w:caps w:val="false"/>
          <w:smallCaps w:val="false"/>
        </w:rPr>
      </w:pPr>
      <w:r>
        <w:rPr>
          <w:caps w:val="false"/>
          <w:smallCaps w:val="false"/>
        </w:rPr>
        <w:t> </w:t>
      </w:r>
    </w:p>
    <w:p>
      <w:pPr>
        <w:pStyle w:val="TextBody"/>
        <w:bidi w:val="0"/>
        <w:jc w:val="both"/>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Calibri;Helvetica;Sans-Serif" w:hAnsi="Calibri;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checkmark if the registrant has elected not to use the extended transition period for complying with any new or revised financial accounting standards provided pursuant to Section 13(a) of the Exchange Act. </w:t>
      </w:r>
      <w:bookmarkStart w:id="22" w:name="xdx_909_edei--EntityExTransitionPeriod_c"/>
      <w:bookmarkEnd w:id="22"/>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20" w:after="20"/>
        <w:jc w:val="left"/>
        <w:rPr>
          <w:bdr w:val="single" w:sz="24" w:space="1" w:color="000000"/>
        </w:rPr>
      </w:pPr>
      <w:r>
        <w:rPr>
          <w:bdr w:val="single" w:sz="24"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Zapata Quantum, Inc. (the “Company”) entered into an Exclusive Broker-Dealer and Leak-Out Management Agreement (the “B/D Agreement”) with Chardan Capital Markets LLC (the “B/D”), pursuant to which the B/D agreed to act as the exclusive broker-dealer and management agent for any potential sales of shares of the Company’s common stock held by certain stockholders who are bound by the Universal Resale and Registration provisions (the “URR”) in connection with sales and issuances by the Company of common stock and common stock equivalents in 2025, as previously disclosed (such shares, the “Restricted Shares”). As part of the URR, any sales of Restricted Shares must be executed exclusively through a single broker-dealer selected by the Company. Under the terms of the B/D Agreement, the B/D will manage the potential sales of Restricted Shares in compliance with the URR. Subject to the applicable seller’s approval, the B/D’s commission for such sales shall be 4% of the gross sale proceeds realized from such sales; provided, that upon aggregate commissions received by the B/D reaching $200,000, the commission rate will automatically reduce to 3% of the gross sale proceeds for all subsequent sales. In addition, upon the termination or expiration of the B/D Agreement (other than a termination by the Company for the B/D’s uncured material breach), the Company shall pay to the B/D an amount equal to the excess, if any, of $400,000 over the aggregate commissions received by the B/D prior to such termination or expiration. The URR was previously filed as Exhibit 10.4 to the Company’s Current Report on Form 8-K filed on June 18, 2025.</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p>
      <w:pPr>
        <w:pStyle w:val="TextBody"/>
        <w:bidi w:val="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320"/>
        <w:gridCol w:w="3065"/>
      </w:tblGrid>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ZAPATA QUANTUM,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Sumit Kapur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 Kapur, 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610</Words>
  <Characters>3283</Characters>
  <CharactersWithSpaces>3939</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