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10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ZAPATA QUANTUM,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1009"/>
            <w:bookmarkEnd w:id="6"/>
            <w:r>
              <w:rPr>
                <w:rFonts w:ascii="Times New Roman;Times;Serif" w:hAnsi="Times New Roman;Times;Serif"/>
                <w:b/>
                <w:i w:val="false"/>
                <w:caps w:val="false"/>
                <w:smallCaps w:val="false"/>
                <w:sz w:val="20"/>
              </w:rPr>
              <w:t>001-41218</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2_edei--EntityTaxIdentificationNum"/>
            <w:bookmarkEnd w:id="7"/>
            <w:r>
              <w:rPr>
                <w:rFonts w:ascii="Times New Roman;Times;Serif" w:hAnsi="Times New Roman;Times;Serif"/>
                <w:b/>
                <w:i w:val="false"/>
                <w:caps w:val="false"/>
                <w:smallCaps w:val="false"/>
                <w:sz w:val="20"/>
              </w:rPr>
              <w:t>98-1578373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6 Liberty Square, </w:t>
      </w:r>
      <w:bookmarkStart w:id="9" w:name="xdx_90B_edei--EntityAddressAddressLine2_"/>
      <w:bookmarkEnd w:id="9"/>
      <w:r>
        <w:rPr>
          <w:rFonts w:ascii="Times New Roman;Times;Serif" w:hAnsi="Times New Roman;Times;Serif"/>
          <w:b/>
          <w:i w:val="false"/>
          <w:caps w:val="false"/>
          <w:smallCaps w:val="false"/>
          <w:sz w:val="20"/>
        </w:rPr>
        <w:t>#2488</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F_edei--EntityAddressCityOrTown_c2"/>
      <w:bookmarkEnd w:id="10"/>
      <w:r>
        <w:rPr>
          <w:rFonts w:ascii="Times New Roman;Times;Serif" w:hAnsi="Times New Roman;Times;Serif"/>
          <w:b/>
          <w:i w:val="false"/>
          <w:caps w:val="false"/>
          <w:smallCaps w:val="false"/>
          <w:sz w:val="20"/>
        </w:rPr>
        <w:t xml:space="preserve">Boston, </w:t>
      </w:r>
      <w:bookmarkStart w:id="11" w:name="xdx_908_edei--EntityAddressStateOrProvin"/>
      <w:bookmarkEnd w:id="11"/>
      <w:r>
        <w:rPr>
          <w:rFonts w:ascii="Times New Roman;Times;Serif" w:hAnsi="Times New Roman;Times;Serif"/>
          <w:b/>
          <w:i w:val="false"/>
          <w:caps w:val="false"/>
          <w:smallCaps w:val="false"/>
          <w:sz w:val="20"/>
        </w:rPr>
        <w:t xml:space="preserve">MA </w:t>
      </w:r>
      <w:bookmarkStart w:id="12" w:name="xdx_90C_edei--EntityAddressPostalZipCode"/>
      <w:bookmarkEnd w:id="12"/>
      <w:r>
        <w:rPr>
          <w:rFonts w:ascii="Times New Roman;Times;Serif" w:hAnsi="Times New Roman;Times;Serif"/>
          <w:b/>
          <w:i w:val="false"/>
          <w:caps w:val="false"/>
          <w:smallCaps w:val="false"/>
          <w:sz w:val="20"/>
        </w:rPr>
        <w:t>02109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C_edei--CityAreaCode_c20261009__20"/>
      <w:bookmarkEnd w:id="13"/>
      <w:r>
        <w:rPr>
          <w:rFonts w:ascii="Times New Roman;Times;Serif" w:hAnsi="Times New Roman;Times;Serif"/>
          <w:b/>
          <w:i w:val="false"/>
          <w:caps w:val="false"/>
          <w:smallCaps w:val="false"/>
          <w:sz w:val="20"/>
          <w:shd w:fill="FFFFFF" w:val="clear"/>
        </w:rPr>
        <w:t xml:space="preserve">(857) </w:t>
      </w:r>
      <w:bookmarkStart w:id="14" w:name="xdx_908_edei--LocalPhoneNumber_c20261009"/>
      <w:bookmarkEnd w:id="14"/>
      <w:r>
        <w:rPr>
          <w:rFonts w:ascii="Times New Roman;Times;Serif" w:hAnsi="Times New Roman;Times;Serif"/>
          <w:b/>
          <w:i w:val="false"/>
          <w:caps w:val="false"/>
          <w:smallCaps w:val="false"/>
          <w:sz w:val="20"/>
          <w:shd w:fill="FFFFFF" w:val="clear"/>
        </w:rPr>
        <w:t>367-9002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and Former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2_edei--SolicitingMaterial_c202610"/>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14a-12(b)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2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F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checkmark if the registrant has elected not to use the extended transition period for complying with any new or revised financial accounting standards provided pursuant to Section 13(a) of the Exchange Act. </w:t>
      </w:r>
      <w:bookmarkStart w:id="20" w:name="xdx_902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Zapata Quantum, Inc. (the “Company”) held its 2026 Annual Meeting of Stockholders (the “2026 Annual Meeting”). At the 2026 Annual Meeting, the Company’s stockholders voted (i) to elect three directors to hold office for one-, two, or three-year terms, and in each case until their respective successors are elected and qualified (Proposal 1); (ii) approve one or more amendments to the Company’s Certificate of Incorporation, in each case to effect a reverse stock split of the Company’s issued and outstanding shares of common stock at a ratio to be determined in the discretion of the Company’s Board of Directors (the “Board”) within a range of one-for-two through one-for 50 for purposes of achieving the requisite minimum price per share necessary to comply with the listing requirements of a national securities exchange operated by The Nasdaq Stock Market, LLC or the New York Stock Exchange (Proposal 2); (iii) to ratify the selection of Weinberg &amp; Company as the Company’s independent registered public accounting firm for the year ending December 31, 2026 (Proposal 3); (iv) to approve, on a non-binding advisory basis, the compensation paid to the Company’s named executive officers (Proposal 4); (v) recommend, on a non-binding advisory basis, the frequency of future advisory votes on the compensation paid to the Company’s named executive officers, with the Board’s recommendation of a frequency of three years (Proposal 5); and (vi) to approve an adjournment of the 2026 Annual Meeting to a later date or time, if necessary, to permit further solicitation and vote of proxies if there are not sufficient votes at the time of the 2026 Annual Meeting to approve any of the proposals presented for a vote at the 2026 Annual Meeting (Proposal 6), all as described in more detail in the Company’s definitive proxy statement filed with the Securities and Exchange Commission on September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234,170,076 votes constituting the outstanding voting power of the Company, 148,463,029 votes were represented at the 2026 Annual Meeting. Set forth below are the final voting results on each matter submitted to a vote of stockholders at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1</w:t>
      </w:r>
      <w:r>
        <w:rPr>
          <w:rFonts w:ascii="Times New Roman;Times;Serif" w:hAnsi="Times New Roman;Times;Serif"/>
          <w:b w:val="false"/>
          <w:i w:val="false"/>
          <w:caps w:val="false"/>
          <w:smallCaps w:val="false"/>
          <w:sz w:val="20"/>
        </w:rPr>
        <w:t>. The Company’s stockholders voted to elect three directors to hold office for one-, two, or three-year terms, and in each case until their respective successors are elected and qualified:</w:t>
      </w:r>
    </w:p>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28" w:type="dxa"/>
          <w:right w:w="0" w:type="dxa"/>
        </w:tblCellMar>
      </w:tblPr>
      <w:tblGrid>
        <w:gridCol w:w="1715"/>
        <w:gridCol w:w="60"/>
        <w:gridCol w:w="1055"/>
        <w:gridCol w:w="60"/>
        <w:gridCol w:w="1295"/>
        <w:gridCol w:w="60"/>
        <w:gridCol w:w="1505"/>
      </w:tblGrid>
      <w:tr>
        <w:trPr/>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Nominee</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2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Withheld</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 Kapur</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139,792,581</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71,624</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8,598,824</w:t>
            </w:r>
          </w:p>
        </w:tc>
      </w:tr>
      <w:tr>
        <w:trPr/>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E. Klitgaard</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139,788,168</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76,037</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8,598,824</w:t>
            </w:r>
          </w:p>
        </w:tc>
      </w:tr>
      <w:tr>
        <w:trPr/>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 Golestani</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139,716,306</w:t>
            </w:r>
          </w:p>
        </w:tc>
        <w:tc>
          <w:tcPr>
            <w:tcW w:w="60" w:type="dxa"/>
            <w:tcBorders/>
            <w:tcMar>
              <w:bottom w:w="0" w:type="dxa"/>
            </w:tcMar>
            <w:vAlign w:val="center"/>
          </w:tcPr>
          <w:p>
            <w:pPr>
              <w:pStyle w:val="TableContents"/>
              <w:bidi w:val="0"/>
              <w:spacing w:before="0" w:after="283"/>
              <w:jc w:val="left"/>
              <w:rPr/>
            </w:pPr>
            <w:r>
              <w:rPr/>
              <w:t> </w:t>
            </w:r>
          </w:p>
        </w:tc>
        <w:tc>
          <w:tcPr>
            <w:tcW w:w="12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147,899</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8,598,824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2</w:t>
      </w:r>
      <w:r>
        <w:rPr>
          <w:rFonts w:ascii="Times New Roman;Times;Serif" w:hAnsi="Times New Roman;Times;Serif"/>
          <w:b w:val="false"/>
          <w:i w:val="false"/>
          <w:caps w:val="false"/>
          <w:smallCaps w:val="false"/>
          <w:sz w:val="20"/>
        </w:rPr>
        <w:t>. The Company’s stockholders voted to approve one or more amendments to the Company’s Certificate of Incorporation, in each case to effect a reverse stock split of the Company’s issued and outstanding shares of common stock at a ratio to be determined in the Board’s discretion within a range of one-for-two through one-for 50 for purposes of achieving the requisite minimum price per share necessary to comply with the listing requirements of a national securities exchange operated by The Nasdaq Stock Market, LLC or the New York Stock Exchange. There were no broker non-votes on this proposal.</w:t>
      </w:r>
    </w:p>
    <w:p>
      <w:pPr>
        <w:pStyle w:val="TextBody"/>
        <w:bidi w:val="0"/>
        <w:spacing w:before="0" w:after="0"/>
        <w:ind w:left="0" w:right="0" w:hanging="0"/>
        <w:jc w:val="both"/>
        <w:rPr>
          <w:caps w:val="false"/>
          <w:smallCaps w:val="false"/>
        </w:rPr>
      </w:pPr>
      <w:r>
        <w:rPr>
          <w:caps w:val="false"/>
          <w:smallCaps w:val="false"/>
        </w:rPr>
        <w:t> </w:t>
      </w:r>
    </w:p>
    <w:tbl>
      <w:tblPr>
        <w:tblW w:w="3360" w:type="dxa"/>
        <w:jc w:val="left"/>
        <w:tblInd w:w="0" w:type="dxa"/>
        <w:tblLayout w:type="fixed"/>
        <w:tblCellMar>
          <w:top w:w="0" w:type="dxa"/>
          <w:left w:w="0" w:type="dxa"/>
          <w:bottom w:w="28" w:type="dxa"/>
          <w:right w:w="0" w:type="dxa"/>
        </w:tblCellMar>
      </w:tblPr>
      <w:tblGrid>
        <w:gridCol w:w="1070"/>
        <w:gridCol w:w="60"/>
        <w:gridCol w:w="1160"/>
        <w:gridCol w:w="60"/>
        <w:gridCol w:w="1010"/>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r>
      <w:tr>
        <w:trPr/>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144,666,524</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3,029,085</w:t>
            </w:r>
          </w:p>
        </w:tc>
        <w:tc>
          <w:tcPr>
            <w:tcW w:w="6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767,420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3</w:t>
      </w:r>
      <w:r>
        <w:rPr>
          <w:rFonts w:ascii="Times New Roman;Times;Serif" w:hAnsi="Times New Roman;Times;Serif"/>
          <w:b w:val="false"/>
          <w:i w:val="false"/>
          <w:caps w:val="false"/>
          <w:smallCaps w:val="false"/>
          <w:sz w:val="20"/>
        </w:rPr>
        <w:t>. The Company’s stockholders voted to ratify the selection of Weinberg &amp; Company as the Company’s independent registered public accounting firm for the year ending December 31, 2026. There were no broker non-votes on this proposal.</w:t>
      </w:r>
    </w:p>
    <w:p>
      <w:pPr>
        <w:pStyle w:val="TextBody"/>
        <w:bidi w:val="0"/>
        <w:spacing w:before="0" w:after="0"/>
        <w:ind w:left="0" w:right="0" w:hanging="0"/>
        <w:jc w:val="both"/>
        <w:rPr>
          <w:caps w:val="false"/>
          <w:smallCaps w:val="false"/>
        </w:rPr>
      </w:pPr>
      <w:r>
        <w:rPr>
          <w:caps w:val="false"/>
          <w:smallCaps w:val="false"/>
        </w:rPr>
        <w:t> </w:t>
      </w:r>
    </w:p>
    <w:tbl>
      <w:tblPr>
        <w:tblW w:w="3360" w:type="dxa"/>
        <w:jc w:val="left"/>
        <w:tblInd w:w="0" w:type="dxa"/>
        <w:tblLayout w:type="fixed"/>
        <w:tblCellMar>
          <w:top w:w="0" w:type="dxa"/>
          <w:left w:w="0" w:type="dxa"/>
          <w:bottom w:w="28" w:type="dxa"/>
          <w:right w:w="0" w:type="dxa"/>
        </w:tblCellMar>
      </w:tblPr>
      <w:tblGrid>
        <w:gridCol w:w="1070"/>
        <w:gridCol w:w="60"/>
        <w:gridCol w:w="1160"/>
        <w:gridCol w:w="60"/>
        <w:gridCol w:w="1010"/>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r>
      <w:tr>
        <w:trPr/>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147,458,955</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64,145</w:t>
            </w:r>
          </w:p>
        </w:tc>
        <w:tc>
          <w:tcPr>
            <w:tcW w:w="6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939,929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4</w:t>
      </w:r>
      <w:r>
        <w:rPr>
          <w:rFonts w:ascii="Times New Roman;Times;Serif" w:hAnsi="Times New Roman;Times;Serif"/>
          <w:b w:val="false"/>
          <w:i w:val="false"/>
          <w:caps w:val="false"/>
          <w:smallCaps w:val="false"/>
          <w:sz w:val="20"/>
        </w:rPr>
        <w:t>. The Company’s stockholders voted to approve, on a non-binding advisory basis, the compensation paid to the Company’s named executive officers.</w:t>
      </w:r>
    </w:p>
    <w:p>
      <w:pPr>
        <w:pStyle w:val="TextBody"/>
        <w:bidi w:val="0"/>
        <w:spacing w:before="0" w:after="0"/>
        <w:ind w:left="0" w:right="0" w:hanging="0"/>
        <w:jc w:val="both"/>
        <w:rPr>
          <w:caps w:val="false"/>
          <w:smallCaps w:val="false"/>
        </w:rPr>
      </w:pPr>
      <w:r>
        <w:rPr>
          <w:caps w:val="false"/>
          <w:smallCaps w:val="false"/>
        </w:rPr>
        <w:t> </w:t>
      </w:r>
    </w:p>
    <w:tbl>
      <w:tblPr>
        <w:tblW w:w="4910" w:type="dxa"/>
        <w:jc w:val="left"/>
        <w:tblInd w:w="0" w:type="dxa"/>
        <w:tblLayout w:type="fixed"/>
        <w:tblCellMar>
          <w:top w:w="0" w:type="dxa"/>
          <w:left w:w="0" w:type="dxa"/>
          <w:bottom w:w="28" w:type="dxa"/>
          <w:right w:w="0" w:type="dxa"/>
        </w:tblCellMar>
      </w:tblPr>
      <w:tblGrid>
        <w:gridCol w:w="1070"/>
        <w:gridCol w:w="60"/>
        <w:gridCol w:w="1160"/>
        <w:gridCol w:w="60"/>
        <w:gridCol w:w="995"/>
        <w:gridCol w:w="60"/>
        <w:gridCol w:w="150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pPr>
            <w:r>
              <w:rPr/>
              <w:t> </w:t>
            </w:r>
          </w:p>
        </w:tc>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c>
          <w:tcPr>
            <w:tcW w:w="60" w:type="dxa"/>
            <w:tcBorders/>
            <w:tcMar>
              <w:bottom w:w="0" w:type="dxa"/>
            </w:tcMar>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w:t>
            </w:r>
          </w:p>
        </w:tc>
      </w:tr>
      <w:tr>
        <w:trPr/>
        <w:tc>
          <w:tcPr>
            <w:tcW w:w="10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138,593,117</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310,521</w:t>
            </w:r>
          </w:p>
        </w:tc>
        <w:tc>
          <w:tcPr>
            <w:tcW w:w="60" w:type="dxa"/>
            <w:tcBorders/>
            <w:tcMar>
              <w:bottom w:w="0" w:type="dxa"/>
            </w:tcMar>
            <w:vAlign w:val="center"/>
          </w:tcPr>
          <w:p>
            <w:pPr>
              <w:pStyle w:val="TableContents"/>
              <w:bidi w:val="0"/>
              <w:spacing w:before="0" w:after="283"/>
              <w:jc w:val="left"/>
              <w:rPr/>
            </w:pPr>
            <w:r>
              <w:rPr/>
              <w:t> </w:t>
            </w:r>
          </w:p>
        </w:tc>
        <w:tc>
          <w:tcPr>
            <w:tcW w:w="9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960,567</w:t>
            </w:r>
          </w:p>
        </w:tc>
        <w:tc>
          <w:tcPr>
            <w:tcW w:w="60" w:type="dxa"/>
            <w:tcBorders/>
            <w:tcMar>
              <w:bottom w:w="0" w:type="dxa"/>
            </w:tcMar>
            <w:vAlign w:val="center"/>
          </w:tcPr>
          <w:p>
            <w:pPr>
              <w:pStyle w:val="TableContents"/>
              <w:bidi w:val="0"/>
              <w:spacing w:before="0" w:after="283"/>
              <w:jc w:val="left"/>
              <w:rPr/>
            </w:pPr>
            <w:r>
              <w:rPr/>
              <w:t> </w:t>
            </w:r>
          </w:p>
        </w:tc>
        <w:tc>
          <w:tcPr>
            <w:tcW w:w="15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8,598,824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5</w:t>
      </w:r>
      <w:r>
        <w:rPr>
          <w:rFonts w:ascii="Times New Roman;Times;Serif" w:hAnsi="Times New Roman;Times;Serif"/>
          <w:b w:val="false"/>
          <w:i w:val="false"/>
          <w:caps w:val="false"/>
          <w:smallCaps w:val="false"/>
          <w:sz w:val="20"/>
        </w:rPr>
        <w:t>. The Company’s stockholders voted to recommend, on a non-binding advisory basis, the frequency of future advisory votes on the compensation paid to the Company’s named executive officers, with the Board’s recommendation of a frequency of three years. There were no broker non-votes on this proposal.</w:t>
      </w:r>
    </w:p>
    <w:p>
      <w:pPr>
        <w:pStyle w:val="TextBody"/>
        <w:bidi w:val="0"/>
        <w:spacing w:before="0" w:after="0"/>
        <w:ind w:left="0" w:right="0" w:hanging="0"/>
        <w:jc w:val="both"/>
        <w:rPr>
          <w:caps w:val="false"/>
          <w:smallCaps w:val="false"/>
        </w:rPr>
      </w:pPr>
      <w:r>
        <w:rPr>
          <w:caps w:val="false"/>
          <w:smallCaps w:val="false"/>
        </w:rPr>
        <w:t> </w:t>
      </w:r>
    </w:p>
    <w:tbl>
      <w:tblPr>
        <w:tblW w:w="3980" w:type="dxa"/>
        <w:jc w:val="left"/>
        <w:tblInd w:w="0" w:type="dxa"/>
        <w:tblLayout w:type="fixed"/>
        <w:tblCellMar>
          <w:top w:w="0" w:type="dxa"/>
          <w:left w:w="0" w:type="dxa"/>
          <w:bottom w:w="28" w:type="dxa"/>
          <w:right w:w="0" w:type="dxa"/>
        </w:tblCellMar>
      </w:tblPr>
      <w:tblGrid>
        <w:gridCol w:w="860"/>
        <w:gridCol w:w="60"/>
        <w:gridCol w:w="875"/>
        <w:gridCol w:w="60"/>
        <w:gridCol w:w="1055"/>
        <w:gridCol w:w="60"/>
        <w:gridCol w:w="1010"/>
      </w:tblGrid>
      <w:tr>
        <w:trPr/>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Year</w:t>
            </w:r>
          </w:p>
        </w:tc>
        <w:tc>
          <w:tcPr>
            <w:tcW w:w="60" w:type="dxa"/>
            <w:tcBorders/>
            <w:tcMar>
              <w:bottom w:w="0" w:type="dxa"/>
            </w:tcMar>
            <w:vAlign w:val="center"/>
          </w:tcPr>
          <w:p>
            <w:pPr>
              <w:pStyle w:val="TableContents"/>
              <w:bidi w:val="0"/>
              <w:spacing w:before="0" w:after="283"/>
              <w:jc w:val="left"/>
              <w:rPr/>
            </w:pPr>
            <w:r>
              <w:rPr/>
              <w:t> </w:t>
            </w:r>
          </w:p>
        </w:tc>
        <w:tc>
          <w:tcPr>
            <w:tcW w:w="87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Years</w:t>
            </w:r>
          </w:p>
        </w:tc>
        <w:tc>
          <w:tcPr>
            <w:tcW w:w="60" w:type="dxa"/>
            <w:tcBorders/>
            <w:tcMar>
              <w:bottom w:w="0" w:type="dxa"/>
            </w:tcMar>
            <w:vAlign w:val="center"/>
          </w:tcPr>
          <w:p>
            <w:pPr>
              <w:pStyle w:val="TableContents"/>
              <w:bidi w:val="0"/>
              <w:spacing w:before="0" w:after="283"/>
              <w:jc w:val="left"/>
              <w:rPr/>
            </w:pPr>
            <w:r>
              <w:rPr/>
              <w:t> </w:t>
            </w:r>
          </w:p>
        </w:tc>
        <w:tc>
          <w:tcPr>
            <w:tcW w:w="105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Years</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w:t>
            </w:r>
          </w:p>
        </w:tc>
      </w:tr>
      <w:tr>
        <w:trPr/>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9,040,354</w:t>
            </w:r>
          </w:p>
        </w:tc>
        <w:tc>
          <w:tcPr>
            <w:tcW w:w="60" w:type="dxa"/>
            <w:tcBorders/>
            <w:tcMar>
              <w:bottom w:w="0" w:type="dxa"/>
            </w:tcMar>
            <w:vAlign w:val="center"/>
          </w:tcPr>
          <w:p>
            <w:pPr>
              <w:pStyle w:val="TableContents"/>
              <w:bidi w:val="0"/>
              <w:spacing w:before="0" w:after="283"/>
              <w:jc w:val="left"/>
              <w:rPr/>
            </w:pPr>
            <w:r>
              <w:rPr/>
              <w:t> </w:t>
            </w:r>
          </w:p>
        </w:tc>
        <w:tc>
          <w:tcPr>
            <w:tcW w:w="8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9,928,823</w:t>
            </w:r>
          </w:p>
        </w:tc>
        <w:tc>
          <w:tcPr>
            <w:tcW w:w="60" w:type="dxa"/>
            <w:tcBorders/>
            <w:tcMar>
              <w:bottom w:w="0" w:type="dxa"/>
            </w:tcMar>
            <w:vAlign w:val="center"/>
          </w:tcPr>
          <w:p>
            <w:pPr>
              <w:pStyle w:val="TableContents"/>
              <w:bidi w:val="0"/>
              <w:spacing w:before="0" w:after="283"/>
              <w:jc w:val="left"/>
              <w:rPr/>
            </w:pPr>
            <w:r>
              <w:rPr/>
              <w:t> </w:t>
            </w:r>
          </w:p>
        </w:tc>
        <w:tc>
          <w:tcPr>
            <w:tcW w:w="10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120,138,727</w:t>
            </w:r>
          </w:p>
        </w:tc>
        <w:tc>
          <w:tcPr>
            <w:tcW w:w="6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756,301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Proposal 6</w:t>
      </w:r>
      <w:r>
        <w:rPr>
          <w:rFonts w:ascii="Times New Roman;Times;Serif" w:hAnsi="Times New Roman;Times;Serif"/>
          <w:b w:val="false"/>
          <w:i w:val="false"/>
          <w:caps w:val="false"/>
          <w:smallCaps w:val="false"/>
          <w:sz w:val="20"/>
        </w:rPr>
        <w:t>. The Company’s stockholders voted to approve the adjournment of the 2026 Annual Meeting, if necessary, to permit further solicitation and vote of proxies, with 145,999,526 votes for, 1,597,218 votes against and 866,285 abstentions. There were no broker non-votes on this proposal. Because there were sufficient votes at the time of the 2026 Annual Meeting to approve each of Proposals 1 through 5, adjournment of the 2026 Annual Meeting was not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receipt of the voting results on Proposal 5, the Company has determined to proceed with a frequency for voting on executive compensation of every three years.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365"/>
        <w:gridCol w:w="3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Sumit Kapur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Sumit Kapur,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1079</Words>
  <Characters>5909</Characters>
  <CharactersWithSpaces>6996</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