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Zapata Quantum,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Lori A. Weber,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Nason Yeager Gerson Harris &amp; Fumero P.A., 3001 PGA Blvd Ste 305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Palm Beach Gardens, FL, 33410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754-315-3147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Clark Golestani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36,820,792.00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36,820,792.00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36,820,792.00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Zapata Quantum,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6 Liberty Square, #2488, Boston, MASSACHUSETTS , 02109.</w:t>
      </w:r>
    </w:p>
    <w:p>
      <w:pPr>
        <w:spacing w:after="0" w:line="20"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2 amends the Schedule 13DA filed with the Securities and Exchange Commission on October 23,</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2025 and is being filed to reflect the recent voluntary registration by Zapata Quantum, Inc. ("Issuer") of its common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stock pursuant to Section 12(g) of the Act to enable the Issuer to become a mandatory "reporting company" subject to the Act. As a mandatory "reporting company" the Issuer is now required to make periodic disclosures including, by filing annual reports on Form 10-K, Quarterly Reports on Form 10-Q and must promptly disclose certain important events on a Form 8-K. The Reporting Person's interest in securities of the Issuer described in Item 5 below has not changed except as related to the additional vesting of previously reported grants and a decrease to the aggregate</w:t>
      </w:r>
    </w:p>
    <w:p>
      <w:pPr>
        <w:spacing w:after="0" w:line="6" w:lineRule="exact"/>
        <w:rPr>
          <w:sz w:val="20"/>
          <w:szCs w:val="20"/>
          <w:color w:val="auto"/>
        </w:rPr>
      </w:pPr>
    </w:p>
    <w:p>
      <w:pPr>
        <w:ind w:right="740" w:firstLine="952"/>
        <w:spacing w:after="0" w:line="283" w:lineRule="auto"/>
        <w:rPr>
          <w:sz w:val="20"/>
          <w:szCs w:val="20"/>
          <w:color w:val="auto"/>
        </w:rPr>
      </w:pPr>
      <w:r>
        <w:rPr>
          <w:rFonts w:ascii="Times New Roman" w:cs="Times New Roman" w:eastAsia="Times New Roman" w:hAnsi="Times New Roman"/>
          <w:sz w:val="22"/>
          <w:szCs w:val="22"/>
          <w:color w:val="auto"/>
        </w:rPr>
        <w:t>percentage beneficially owned as calculated based upon the Issuer's outstanding shares as of March 23, 2026. Item 2. Identity and Background</w:t>
      </w: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Clark Golestani</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 Liberty Square, #2488, Boston, MA 02109</w:t>
      </w:r>
    </w:p>
    <w:p>
      <w:pPr>
        <w:sectPr>
          <w:pgSz w:w="11900" w:h="16874" w:orient="portrait"/>
          <w:cols w:equalWidth="0" w:num="1">
            <w:col w:w="11160"/>
          </w:cols>
          <w:pgMar w:left="360" w:top="126" w:right="379" w:bottom="0" w:gutter="0" w:footer="0" w:header="0"/>
          <w:type w:val="continuous"/>
        </w:sectPr>
      </w:pPr>
    </w:p>
    <w:bookmarkStart w:id="2" w:name="page3"/>
    <w:bookmarkEnd w:id="2"/>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Golestani is a director of Zapata Quantum, Inc.</w:t>
      </w:r>
    </w:p>
    <w:p>
      <w:pPr>
        <w:spacing w:after="0" w:line="44" w:lineRule="exact"/>
        <w:rPr>
          <w:rFonts w:ascii="Times New Roman" w:cs="Times New Roman" w:eastAsia="Times New Roman" w:hAnsi="Times New Roman"/>
          <w:sz w:val="22"/>
          <w:szCs w:val="22"/>
          <w:color w:val="auto"/>
        </w:rPr>
      </w:pPr>
    </w:p>
    <w:p>
      <w:pPr>
        <w:ind w:left="920" w:right="36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past five years the Reporting Person has not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past five years the Reporting Person has not been a party to a civil proceeding or a judicial or</w:t>
      </w:r>
    </w:p>
    <w:p>
      <w:pPr>
        <w:spacing w:after="0" w:line="14" w:lineRule="exact"/>
        <w:rPr>
          <w:rFonts w:ascii="Times New Roman" w:cs="Times New Roman" w:eastAsia="Times New Roman" w:hAnsi="Times New Roman"/>
          <w:sz w:val="39"/>
          <w:szCs w:val="39"/>
          <w:color w:val="auto"/>
          <w:vertAlign w:val="subscript"/>
        </w:rPr>
      </w:pPr>
    </w:p>
    <w:p>
      <w:pPr>
        <w:ind w:left="920" w:right="26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20"/>
        <w:spacing w:after="0" w:line="268" w:lineRule="auto"/>
        <w:rPr>
          <w:sz w:val="20"/>
          <w:szCs w:val="20"/>
          <w:color w:val="auto"/>
        </w:rPr>
      </w:pPr>
      <w:r>
        <w:rPr>
          <w:rFonts w:ascii="Times New Roman" w:cs="Times New Roman" w:eastAsia="Times New Roman" w:hAnsi="Times New Roman"/>
          <w:sz w:val="21"/>
          <w:szCs w:val="21"/>
          <w:color w:val="auto"/>
        </w:rPr>
        <w:t>On October 9, 2025, the Reporting Person received 1,000,000 stock options, vesting in equal monthly increments over two years, with the first vesting date to occur on November 9, 2025, subject to vesting conditions.</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20"/>
        <w:spacing w:after="0" w:line="256" w:lineRule="auto"/>
        <w:rPr>
          <w:sz w:val="20"/>
          <w:szCs w:val="20"/>
          <w:color w:val="auto"/>
        </w:rPr>
      </w:pPr>
      <w:r>
        <w:rPr>
          <w:rFonts w:ascii="Times New Roman" w:cs="Times New Roman" w:eastAsia="Times New Roman" w:hAnsi="Times New Roman"/>
          <w:sz w:val="22"/>
          <w:szCs w:val="22"/>
          <w:color w:val="auto"/>
        </w:rPr>
        <w:t>The Reporting Person is a director of the Issuer. He acquired all of his securities with the purpose of exercising control.</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80"/>
        <w:spacing w:after="0" w:line="246" w:lineRule="auto"/>
        <w:rPr>
          <w:sz w:val="20"/>
          <w:szCs w:val="20"/>
          <w:color w:val="auto"/>
        </w:rPr>
      </w:pPr>
      <w:r>
        <w:rPr>
          <w:rFonts w:ascii="Times New Roman" w:cs="Times New Roman" w:eastAsia="Times New Roman" w:hAnsi="Times New Roman"/>
          <w:sz w:val="21"/>
          <w:szCs w:val="21"/>
          <w:color w:val="auto"/>
        </w:rPr>
        <w:t>The Reporting Person beneficially owns (i) 32,500,000 restricted shares of the Issuer's Common Stock , vesting in equal monthly installments over a two-year period, (ii) 176,288 additional shares of the Issuer's Common Stock , (iii) 34,279 shares of Common Stock underlying stock options exercisable until February 4, 2031, with an exercise price of $2.02 per share; (iv) 68,558 shares of Common Stock underlying stock options exercisable until July 31, 2033, with an exercise price of $3.80 per share; (v) 2,500,000 shares of Common Stock issuable upon conversion of a</w:t>
      </w:r>
    </w:p>
    <w:p>
      <w:pPr>
        <w:spacing w:after="0" w:line="1"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convertible promissory note in the principal amount of $100,000 with a conversion price of $0.04 per share, (vi) 1,250,000 shares of Common Stock issuable upon exercise of a five-year warrant to purchase shares of Common Stock with an exercise price of $0.04 per share, and (vii) 291,667 shares of Common Stock underlying stock options, which represent a portion of a grant of 1,000,000 stock options on October 9, 2025 with an exercise price of $0.08 per share, the remainder of which vests in equal monthly increments over two years. The above number of shares amounts to approximately 20.9% of the 172,293,506 outstanding shares of common stock as of March 23, 2026.</w:t>
      </w:r>
    </w:p>
    <w:p>
      <w:pPr>
        <w:spacing w:after="0" w:line="14" w:lineRule="exact"/>
        <w:rPr>
          <w:rFonts w:ascii="Times New Roman" w:cs="Times New Roman" w:eastAsia="Times New Roman" w:hAnsi="Times New Roman"/>
          <w:sz w:val="21"/>
          <w:szCs w:val="21"/>
          <w:color w:val="auto"/>
        </w:rPr>
      </w:pPr>
    </w:p>
    <w:p>
      <w:pPr>
        <w:ind w:left="920" w:right="9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the sole power to vote or to direct the vote, sole power to dispose or to direct the disposition of all shares beneficially owned by the Reporting Person.</w:t>
      </w:r>
    </w:p>
    <w:p>
      <w:pPr>
        <w:spacing w:after="0" w:line="17" w:lineRule="exact"/>
        <w:rPr>
          <w:rFonts w:ascii="Times New Roman" w:cs="Times New Roman" w:eastAsia="Times New Roman" w:hAnsi="Times New Roman"/>
          <w:sz w:val="39"/>
          <w:szCs w:val="39"/>
          <w:color w:val="auto"/>
          <w:vertAlign w:val="subscript"/>
        </w:rPr>
      </w:pPr>
    </w:p>
    <w:p>
      <w:pPr>
        <w:ind w:left="920" w:right="10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in this Schedule 13D under Item 3 above, the Reporting Person did not engage in any transactions in shares of the Company's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20" w:right="1660" w:hanging="917"/>
        <w:spacing w:after="0" w:line="281" w:lineRule="auto"/>
        <w:tabs>
          <w:tab w:leader="none" w:pos="90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Not applicable.</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Clark Golestani</w:t>
      </w:r>
    </w:p>
    <w:p>
      <w:pPr>
        <w:spacing w:after="0" w:line="152"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Clark Golestani</w:t>
      </w:r>
    </w:p>
    <w:p>
      <w:pPr>
        <w:spacing w:after="0" w:line="4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Name/Title: Clark Golestani, individually</w:t>
      </w:r>
    </w:p>
    <w:p>
      <w:pPr>
        <w:spacing w:after="0" w:line="44" w:lineRule="exact"/>
        <w:rPr>
          <w:sz w:val="20"/>
          <w:szCs w:val="20"/>
          <w:color w:val="auto"/>
        </w:rPr>
      </w:pPr>
    </w:p>
    <w:p>
      <w:pPr>
        <w:ind w:left="380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05/04/2026</w:t>
      </w:r>
    </w:p>
    <w:sectPr>
      <w:pgSz w:w="11900" w:h="16838" w:orient="portrait"/>
      <w:cols w:equalWidth="0" w:num="1">
        <w:col w:w="11140"/>
      </w:cols>
      <w:pgMar w:left="360" w:top="13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2026-05-04T16:45:30Z</dcterms:created>
  <dcterms:modified xsi:type="dcterms:W3CDTF">2026-05-04T16:45:30Z</dcterms:modified>
</cp:coreProperties>
</file>