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33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33390"/>
                    </a:xfrm>
                    <a:prstGeom prst="rect">
                      <a:avLst/>
                    </a:prstGeom>
                    <a:noFill/>
                  </pic:spPr>
                </pic:pic>
              </a:graphicData>
            </a:graphic>
          </wp:anchor>
        </w:drawing>
      </w:r>
    </w:p>
    <w:p>
      <w:pPr>
        <w:sectPr>
          <w:pgSz w:w="11900" w:h="16869"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Kapur Sumit</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Zapata Quantum,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ZPTA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69" w:orient="portrait"/>
          <w:cols w:equalWidth="0" w:num="2">
            <w:col w:w="4720" w:space="280"/>
            <w:col w:w="5940"/>
          </w:cols>
          <w:pgMar w:left="480" w:top="230"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ZAPATA QUANTUM,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 LIBERTY SQUARE, #2488</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02109</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83"/>
        <w:spacing w:after="0"/>
        <w:rPr>
          <w:sz w:val="20"/>
          <w:szCs w:val="20"/>
          <w:color w:val="auto"/>
        </w:rPr>
      </w:pPr>
      <w:r>
        <w:rPr>
          <w:rFonts w:ascii="Times New Roman" w:cs="Times New Roman" w:eastAsia="Times New Roman" w:hAnsi="Times New Roman"/>
          <w:sz w:val="20"/>
          <w:szCs w:val="20"/>
          <w:color w:val="0000FF"/>
        </w:rPr>
        <w:t>CEO and CFO</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05/23/2024</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869"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32,500,000</w:t>
            </w:r>
          </w:p>
        </w:tc>
        <w:tc>
          <w:tcPr>
            <w:tcW w:w="1040" w:type="dxa"/>
            <w:vAlign w:val="bottom"/>
            <w:tcBorders>
              <w:bottom w:val="single" w:sz="8" w:color="2C2C2C"/>
            </w:tcBorders>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580" w:type="dxa"/>
            <w:vAlign w:val="bottom"/>
            <w:tcBorders>
              <w:top w:val="single" w:sz="8" w:color="2C2C2C"/>
            </w:tcBorders>
            <w:gridSpan w:val="5"/>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00" w:type="dxa"/>
            <w:vAlign w:val="bottom"/>
            <w:gridSpan w:val="2"/>
          </w:tcPr>
          <w:p>
            <w:pPr>
              <w:jc w:val="center"/>
              <w:ind w:left="127"/>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05/13/2034</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8"/>
              </w:rPr>
              <w:t>600,000</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1.23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Convertible Promissory Note</w:t>
            </w:r>
            <w:r>
              <w:rPr>
                <w:rFonts w:ascii="Times New Roman" w:cs="Times New Roman" w:eastAsia="Times New Roman" w:hAnsi="Times New Roman"/>
                <w:sz w:val="25"/>
                <w:szCs w:val="25"/>
                <w:color w:val="008000"/>
                <w:vertAlign w:val="superscript"/>
              </w:rPr>
              <w:t>(3)</w:t>
            </w:r>
          </w:p>
        </w:tc>
        <w:tc>
          <w:tcPr>
            <w:tcW w:w="1200" w:type="dxa"/>
            <w:vAlign w:val="bottom"/>
            <w:tcBorders>
              <w:bottom w:val="single" w:sz="8" w:color="2C2C2C"/>
            </w:tcBorders>
            <w:gridSpan w:val="2"/>
          </w:tcPr>
          <w:p>
            <w:pPr>
              <w:jc w:val="center"/>
              <w:ind w:left="127"/>
              <w:spacing w:after="0"/>
              <w:rPr>
                <w:sz w:val="20"/>
                <w:szCs w:val="20"/>
                <w:color w:val="auto"/>
              </w:rPr>
            </w:pPr>
            <w:r>
              <w:rPr>
                <w:rFonts w:ascii="Times New Roman" w:cs="Times New Roman" w:eastAsia="Times New Roman" w:hAnsi="Times New Roman"/>
                <w:sz w:val="15"/>
                <w:szCs w:val="15"/>
                <w:color w:val="0000FF"/>
                <w:w w:val="99"/>
              </w:rPr>
              <w:t>06/12/2025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06/12/2026</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7"/>
              </w:rPr>
              <w:t>2,500,000</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Warrants</w:t>
            </w:r>
            <w:r>
              <w:rPr>
                <w:rFonts w:ascii="Times New Roman" w:cs="Times New Roman" w:eastAsia="Times New Roman" w:hAnsi="Times New Roman"/>
                <w:sz w:val="25"/>
                <w:szCs w:val="25"/>
                <w:color w:val="008000"/>
                <w:vertAlign w:val="superscript"/>
              </w:rPr>
              <w:t>(3)</w:t>
            </w:r>
          </w:p>
        </w:tc>
        <w:tc>
          <w:tcPr>
            <w:tcW w:w="1200" w:type="dxa"/>
            <w:vAlign w:val="bottom"/>
            <w:tcBorders>
              <w:bottom w:val="single" w:sz="8" w:color="2C2C2C"/>
            </w:tcBorders>
            <w:gridSpan w:val="2"/>
          </w:tcPr>
          <w:p>
            <w:pPr>
              <w:jc w:val="center"/>
              <w:ind w:left="127"/>
              <w:spacing w:after="0"/>
              <w:rPr>
                <w:sz w:val="20"/>
                <w:szCs w:val="20"/>
                <w:color w:val="auto"/>
              </w:rPr>
            </w:pPr>
            <w:r>
              <w:rPr>
                <w:rFonts w:ascii="Times New Roman" w:cs="Times New Roman" w:eastAsia="Times New Roman" w:hAnsi="Times New Roman"/>
                <w:sz w:val="15"/>
                <w:szCs w:val="15"/>
                <w:color w:val="0000FF"/>
                <w:w w:val="99"/>
              </w:rPr>
              <w:t>06/12/2025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06/12/2030</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7"/>
              </w:rPr>
              <w:t>1,250,000</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00" w:type="dxa"/>
            <w:vAlign w:val="bottom"/>
            <w:gridSpan w:val="2"/>
          </w:tcPr>
          <w:p>
            <w:pPr>
              <w:jc w:val="center"/>
              <w:ind w:left="127"/>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10/09/2030</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1,000,000</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0.08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00" w:type="dxa"/>
            <w:vAlign w:val="bottom"/>
            <w:gridSpan w:val="2"/>
          </w:tcPr>
          <w:p>
            <w:pPr>
              <w:jc w:val="center"/>
              <w:ind w:left="127"/>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10/09/2030</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5,000,000</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0.08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restricted stock vest in equal monthly installments over a two-year period.</w:t>
      </w:r>
    </w:p>
    <w:p>
      <w:pPr>
        <w:spacing w:after="0" w:line="52"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options will become exercisable over four years from March 13, 2024, with 25% vesting on March 1, 2025 and the remainder vesting in equal monthly installments thereafter.</w:t>
      </w:r>
    </w:p>
    <w:p>
      <w:pPr>
        <w:spacing w:after="0" w:line="17"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purchased a convertible promissory note in the principal amount of $100,000 and an accompanying five-year warrant to purchase 1,250,000 shares of common stock, for a total purchase price of $100,000. The conversion price of the note and exercise price of the warrant are each $0.04 per share.</w:t>
      </w:r>
    </w:p>
    <w:p>
      <w:pPr>
        <w:spacing w:after="0" w:line="17" w:lineRule="exact"/>
        <w:rPr>
          <w:rFonts w:ascii="Times New Roman" w:cs="Times New Roman" w:eastAsia="Times New Roman" w:hAnsi="Times New Roman"/>
          <w:sz w:val="15"/>
          <w:szCs w:val="15"/>
          <w:color w:val="008000"/>
        </w:rPr>
      </w:pPr>
    </w:p>
    <w:p>
      <w:pPr>
        <w:ind w:left="40" w:right="1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of stock options was exempt from Section 16(b) of the Securities Exchange Act of 1934 by virtue of Rule 16b-3 promulgated thereunder, as it was approved by the Issuer's Board of Directors. The stock options shall vest in equal monthly increments over two years, with the first vesting date to occur on November 9, 2025, subject to continued service as a director of the Issuer on each applicable vesting date and the execution of the Issuer's Stock Option Agreement.</w:t>
      </w:r>
    </w:p>
    <w:p>
      <w:pPr>
        <w:spacing w:after="0" w:line="29"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of stock options was exempt from Section 16(b) of the Securities Exchange Act of 1934 by virtue of Rule 16b-3 promulgated thereunder, as it was approved by the Issuer's Board of Directors. The stock options shall vest in equal monthly increments over four years, with the first vesting date to occur on November 9, 2025, subject to continued employment with the Issuer on each applicable vesting date and the execution of the Issuer's Stock Option Agreement.</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60"/>
        <w:spacing w:after="0" w:line="244" w:lineRule="auto"/>
        <w:rPr>
          <w:sz w:val="20"/>
          <w:szCs w:val="20"/>
          <w:color w:val="auto"/>
        </w:rPr>
      </w:pPr>
      <w:r>
        <w:rPr>
          <w:rFonts w:ascii="Times New Roman" w:cs="Times New Roman" w:eastAsia="Times New Roman" w:hAnsi="Times New Roman"/>
          <w:sz w:val="15"/>
          <w:szCs w:val="15"/>
          <w:color w:val="008000"/>
        </w:rPr>
        <w:t>The original Form 3 was filed at a time when the Issuer was subject to Section 12(b) of the Securities Exchange Act of 1934. That registration was subsequently withdrawn. The Issuer became subject to the reporting requirements under Section 12(g) of the Securities Exchange Act of 1934 on May 1, 2026. The Form 3 is now being amended to comply with the reporting requirements under Section 12(g).</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Sumit Kapur</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05/07/2026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69" w:orient="portrait"/>
          <w:cols w:equalWidth="0" w:num="1">
            <w:col w:w="10940"/>
          </w:cols>
          <w:pgMar w:left="480" w:top="230" w:right="47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4204" TargetMode="External"/><Relationship Id="rId11" Type="http://schemas.openxmlformats.org/officeDocument/2006/relationships/hyperlink" Target="http://www.sec.gov/cgi-bin/browse-edgar?action=getcompany&amp;CIK=0001843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2026-05-07T15:53:19Z</dcterms:created>
  <dcterms:modified xsi:type="dcterms:W3CDTF">2026-05-07T15:53:19Z</dcterms:modified>
</cp:coreProperties>
</file>