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Zapata Quantum,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Lori A. Weber,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Nason Yeager Gerson Harris &amp; Fumero P.A., 3001 PGA Blvd Ste 305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Palm Beach Gardens, FL, 33410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754-315-3147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Sumit Kapur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37,595,833.00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37,595,833.00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37,595,833.00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Zapata Quantum,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 Liberty Square, #2488, Boston, MASSACHUSETTS , 02109.</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2 amends the Schedule 13DA filed with the Securities and Exchange Commission on October 23,</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2025 and is being filed to reflect the recent voluntary registration by Zapata Quantum, Inc. ("Issuer") of its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stock pursuant to Section 12(g) of the Act to enable the Issuer to become a mandatory "reporting company" subject to the Act. As a mandatory "reporting company" the Issuer is now required to make periodic disclosures including, by filing annual reports on Form 10-K, Quarterly Reports on Form 10-Q and must promptly disclose certain important events on a Form 8-K. The Reporting Person's interest in securities of the Issuer described in Item 5 below has not changed except as related to the additional vesting of previously reported grants and a decrease to the aggregate</w:t>
      </w:r>
    </w:p>
    <w:p>
      <w:pPr>
        <w:spacing w:after="0" w:line="6" w:lineRule="exact"/>
        <w:rPr>
          <w:sz w:val="20"/>
          <w:szCs w:val="20"/>
          <w:color w:val="auto"/>
        </w:rPr>
      </w:pPr>
    </w:p>
    <w:p>
      <w:pPr>
        <w:ind w:right="740" w:firstLine="952"/>
        <w:spacing w:after="0" w:line="283" w:lineRule="auto"/>
        <w:rPr>
          <w:sz w:val="20"/>
          <w:szCs w:val="20"/>
          <w:color w:val="auto"/>
        </w:rPr>
      </w:pPr>
      <w:r>
        <w:rPr>
          <w:rFonts w:ascii="Times New Roman" w:cs="Times New Roman" w:eastAsia="Times New Roman" w:hAnsi="Times New Roman"/>
          <w:sz w:val="22"/>
          <w:szCs w:val="22"/>
          <w:color w:val="auto"/>
        </w:rPr>
        <w:t>percentage beneficially owned as calculated based upon the Issuer's outstanding shares as of March 23, 2026. Item 2. Identity and Background</w:t>
      </w: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Sumit Kapur</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Liberty Square, #2488, Boston MA 02109</w:t>
      </w:r>
    </w:p>
    <w:p>
      <w:pPr>
        <w:sectPr>
          <w:pgSz w:w="11900" w:h="16874" w:orient="portrait"/>
          <w:cols w:equalWidth="0" w:num="1">
            <w:col w:w="11160"/>
          </w:cols>
          <w:pgMar w:left="360" w:top="126" w:right="379" w:bottom="0" w:gutter="0" w:footer="0" w:header="0"/>
          <w:type w:val="continuous"/>
        </w:sectPr>
      </w:pPr>
    </w:p>
    <w:bookmarkStart w:id="2" w:name="page3"/>
    <w:bookmarkEnd w:id="2"/>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Kapur is the Chief Executive Officer, Chief Financial Officer and Director of Zapata Quantum, Inc.</w:t>
      </w:r>
    </w:p>
    <w:p>
      <w:pPr>
        <w:spacing w:after="0" w:line="44"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the Reporting Person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past five years the Reporting Person has not been a party to a civil proceeding or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60"/>
        <w:spacing w:after="0" w:line="254" w:lineRule="auto"/>
        <w:rPr>
          <w:sz w:val="20"/>
          <w:szCs w:val="20"/>
          <w:color w:val="auto"/>
        </w:rPr>
      </w:pPr>
      <w:r>
        <w:rPr>
          <w:rFonts w:ascii="Times New Roman" w:cs="Times New Roman" w:eastAsia="Times New Roman" w:hAnsi="Times New Roman"/>
          <w:sz w:val="21"/>
          <w:szCs w:val="21"/>
          <w:color w:val="auto"/>
        </w:rPr>
        <w:t>On October 9, 2025, the Reporting Person received (i) 1,000,000 stock options, vesting in equal monthly increments over two years, with the first vesting date to occur on November 9, 2025, subject to continued services as a director with the Company as of each applicable vesting date and (ii) 5,000,000 stock options, vesting in equal monthly installments over four years, subject to continued employment with the Company as of each applicable vesting date.</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60"/>
        <w:spacing w:after="0" w:line="256" w:lineRule="auto"/>
        <w:rPr>
          <w:sz w:val="20"/>
          <w:szCs w:val="20"/>
          <w:color w:val="auto"/>
        </w:rPr>
      </w:pPr>
      <w:r>
        <w:rPr>
          <w:rFonts w:ascii="Times New Roman" w:cs="Times New Roman" w:eastAsia="Times New Roman" w:hAnsi="Times New Roman"/>
          <w:sz w:val="22"/>
          <w:szCs w:val="22"/>
          <w:color w:val="auto"/>
        </w:rPr>
        <w:t>The Reporting Person is the Chief Executive Officer, Chief Financial Officer and Director of the Issuer. He acquired all of his securities with the purpose of exercising control.</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40"/>
        <w:spacing w:after="0" w:line="245" w:lineRule="auto"/>
        <w:rPr>
          <w:sz w:val="20"/>
          <w:szCs w:val="20"/>
          <w:color w:val="auto"/>
        </w:rPr>
      </w:pPr>
      <w:r>
        <w:rPr>
          <w:rFonts w:ascii="Times New Roman" w:cs="Times New Roman" w:eastAsia="Times New Roman" w:hAnsi="Times New Roman"/>
          <w:sz w:val="21"/>
          <w:szCs w:val="21"/>
          <w:color w:val="auto"/>
        </w:rPr>
        <w:t>The Reporting Person beneficially owns (i) 32,500,000 restricted shares of the Issuer's Common Stock, vesting in equal monthly installments over a two-year period; (ii) 325,000 shares of Common Stock underlying stock options, which represent a portion of a grant of 600,000 stock options on May 20, 2024 with an exercise price of $1.23 per share, the remainder of which vests in equal monthly increments over three years from March 13, 2025; (iii) 2,500,000 shares of Common Stock issuable upon conversion of a convertible promissory note in the principal amount of $100,000 with a conversion price of $0.04 per share, (iv) 1,250,000 shares of Common Stock issuable</w:t>
      </w:r>
    </w:p>
    <w:p>
      <w:pPr>
        <w:ind w:left="9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a five-year warrant to purchase shares of Common Stock with an exercise price of $0.04 per share,</w:t>
      </w:r>
    </w:p>
    <w:p>
      <w:pPr>
        <w:ind w:left="920" w:right="2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 291,667 shares of Common Stock underlying stock options, which represent a portion of a grant of 1,000,000 stock options on October 9, 2025 with an exercise price of $0.08 per share, the remainder of which vests in equal monthly increments over two years, and (vi) 729,167 shares of Common Stock underlying stock options, which represent a portion of a grant of 5,000,000 stock options on October 9, 2025 with an exercise price of $0.08 per share, the remainder of which vests in equal monthly increments over four years. The above number of shares amounts to approximately 21.2% of the 172,293,506 outstanding shares of common stock as of March 23, 2026.</w:t>
      </w:r>
    </w:p>
    <w:p>
      <w:pPr>
        <w:spacing w:after="0" w:line="20" w:lineRule="exact"/>
        <w:rPr>
          <w:rFonts w:ascii="Times New Roman" w:cs="Times New Roman" w:eastAsia="Times New Roman" w:hAnsi="Times New Roman"/>
          <w:sz w:val="22"/>
          <w:szCs w:val="22"/>
          <w:color w:val="auto"/>
        </w:rPr>
      </w:pPr>
    </w:p>
    <w:p>
      <w:pPr>
        <w:ind w:left="920" w:right="9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the sole power to vote or to direct the vote, sole power to dispose or to direct the disposition of all shares beneficially owned by the Reporting Person.</w:t>
      </w:r>
    </w:p>
    <w:p>
      <w:pPr>
        <w:spacing w:after="0" w:line="17" w:lineRule="exact"/>
        <w:rPr>
          <w:rFonts w:ascii="Times New Roman" w:cs="Times New Roman" w:eastAsia="Times New Roman" w:hAnsi="Times New Roman"/>
          <w:sz w:val="39"/>
          <w:szCs w:val="39"/>
          <w:color w:val="auto"/>
          <w:vertAlign w:val="subscript"/>
        </w:rPr>
      </w:pPr>
    </w:p>
    <w:p>
      <w:pPr>
        <w:ind w:left="920" w:right="10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this Schedule 13D under Item 3 above, the Reporting Person did not engage in any transactions in shares of the Company's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Not applicable.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Sumit Kapur</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Sumit Kapur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Sumit Kapur, individually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2026-05-04T16:46:48Z</dcterms:created>
  <dcterms:modified xsi:type="dcterms:W3CDTF">2026-05-04T16:46:48Z</dcterms:modified>
</cp:coreProperties>
</file>