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s1_001">
        <w:bookmarkStart w:id="0" w:name="zpat_s1a1.htm"/>
        <w:bookmarkStart w:id="1" w:name="kszpat_s1a1"/>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333-296525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1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 xml:space="preserve">FORM </w:t>
      </w:r>
      <w:bookmarkStart w:id="2" w:name="xdx_902_edei--DocumentType_c20260101__20"/>
      <w:bookmarkEnd w:id="2"/>
      <w:r>
        <w:rPr>
          <w:rFonts w:ascii="Times New Roman;Times;Serif" w:hAnsi="Times New Roman;Times;Serif"/>
          <w:b/>
          <w:i w:val="false"/>
          <w:caps w:val="false"/>
          <w:smallCaps w:val="false"/>
          <w:sz w:val="24"/>
        </w:rPr>
        <w:t>S-1/A</w:t>
      </w:r>
      <w:r>
        <w:rPr>
          <w:rFonts w:ascii="Times New Roman;Times;Serif" w:hAnsi="Times New Roman;Times;Serif"/>
          <w:b/>
          <w:i w:val="false"/>
          <w:caps w:val="false"/>
          <w:smallCaps w:val="false"/>
          <w:sz w:val="20"/>
        </w:rPr>
        <w:b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3_edei--EntityRegistrantName_c2026"/>
      <w:bookmarkEnd w:id="3"/>
      <w:r>
        <w:rPr>
          <w:rFonts w:ascii="Times New Roman;Times;Serif" w:hAnsi="Times New Roman;Times;Serif"/>
          <w:b/>
          <w:i w:val="false"/>
          <w:caps w:val="false"/>
          <w:smallCaps w:val="false"/>
          <w:sz w:val="24"/>
        </w:rPr>
        <w:t>Zapata Quantum, Inc.</w:t>
      </w:r>
      <w:r>
        <w:rPr>
          <w:rFonts w:ascii="Times New Roman;Times;Serif" w:hAnsi="Times New Roman;Times;Serif"/>
          <w:b/>
          <w:i w:val="false"/>
          <w:caps w:val="false"/>
          <w:smallCaps w:val="false"/>
          <w:sz w:val="20"/>
        </w:rPr>
        <w:br/>
      </w: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2585"/>
        <w:gridCol w:w="60"/>
        <w:gridCol w:w="2450"/>
        <w:gridCol w:w="60"/>
        <w:gridCol w:w="1910"/>
      </w:tblGrid>
      <w:tr>
        <w:trPr/>
        <w:tc>
          <w:tcPr>
            <w:tcW w:w="2585" w:type="dxa"/>
            <w:tcBorders>
              <w:bottom w:val="single" w:sz="8" w:space="0" w:color="000000"/>
            </w:tcBorders>
            <w:vAlign w:val="center"/>
          </w:tcPr>
          <w:p>
            <w:pPr>
              <w:pStyle w:val="TableContents"/>
              <w:bidi w:val="0"/>
              <w:spacing w:before="0" w:after="283"/>
              <w:jc w:val="center"/>
              <w:rPr>
                <w:b/>
                <w:sz w:val="20"/>
              </w:rPr>
            </w:pPr>
            <w:bookmarkStart w:id="4" w:name="xdx_90B_edei--EntityIncorporationStateCo"/>
            <w:bookmarkEnd w:id="4"/>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450" w:type="dxa"/>
            <w:tcBorders>
              <w:bottom w:val="single" w:sz="8" w:space="0" w:color="000000"/>
            </w:tcBorders>
            <w:vAlign w:val="center"/>
          </w:tcPr>
          <w:p>
            <w:pPr>
              <w:pStyle w:val="TableContents"/>
              <w:bidi w:val="0"/>
              <w:spacing w:before="0" w:after="283"/>
              <w:jc w:val="center"/>
              <w:rPr>
                <w:b/>
                <w:sz w:val="20"/>
              </w:rPr>
            </w:pPr>
            <w:r>
              <w:rPr>
                <w:b/>
                <w:sz w:val="20"/>
              </w:rPr>
              <w:t>7372</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8" w:space="0" w:color="000000"/>
            </w:tcBorders>
            <w:vAlign w:val="center"/>
          </w:tcPr>
          <w:p>
            <w:pPr>
              <w:pStyle w:val="TableContents"/>
              <w:bidi w:val="0"/>
              <w:spacing w:before="0" w:after="283"/>
              <w:jc w:val="center"/>
              <w:rPr>
                <w:b/>
                <w:sz w:val="20"/>
              </w:rPr>
            </w:pPr>
            <w:bookmarkStart w:id="5" w:name="xdx_908_edei--EntityTaxIdentificationNum"/>
            <w:bookmarkEnd w:id="5"/>
            <w:r>
              <w:rPr>
                <w:b/>
                <w:sz w:val="20"/>
              </w:rPr>
              <w:t>98-1578373</w:t>
            </w:r>
          </w:p>
        </w:tc>
      </w:tr>
      <w:tr>
        <w:trPr/>
        <w:tc>
          <w:tcPr>
            <w:tcW w:w="2585" w:type="dxa"/>
            <w:tcBorders/>
            <w:tcMar>
              <w:bottom w:w="0" w:type="dxa"/>
            </w:tcMar>
            <w:vAlign w:val="center"/>
          </w:tcPr>
          <w:p>
            <w:pPr>
              <w:pStyle w:val="TableContents"/>
              <w:bidi w:val="0"/>
              <w:spacing w:before="0" w:after="283"/>
              <w:jc w:val="center"/>
              <w:rPr>
                <w:i/>
                <w:sz w:val="20"/>
              </w:rPr>
            </w:pPr>
            <w:r>
              <w:rPr>
                <w:i/>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center"/>
              <w:rPr>
                <w:i/>
                <w:sz w:val="20"/>
              </w:rPr>
            </w:pPr>
            <w:r>
              <w:rPr>
                <w:i/>
                <w:sz w:val="20"/>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center"/>
              <w:rPr>
                <w:i/>
                <w:sz w:val="20"/>
              </w:rPr>
            </w:pPr>
            <w:r>
              <w:rPr>
                <w:i/>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6" w:name="xdx_906_edei--EntityAddressAddressLine1_"/>
      <w:bookmarkEnd w:id="6"/>
      <w:r>
        <w:rPr>
          <w:rFonts w:ascii="Times New Roman;Times;Serif" w:hAnsi="Times New Roman;Times;Serif"/>
          <w:b/>
          <w:i w:val="false"/>
          <w:caps w:val="false"/>
          <w:smallCaps w:val="false"/>
          <w:sz w:val="20"/>
        </w:rPr>
        <w:t>6 Liberty Square, #2488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7" w:name="xdx_908_edei--EntityAddressCityOrTown_c2"/>
      <w:bookmarkEnd w:id="7"/>
      <w:r>
        <w:rPr>
          <w:rFonts w:ascii="Times New Roman;Times;Serif" w:hAnsi="Times New Roman;Times;Serif"/>
          <w:b/>
          <w:i w:val="false"/>
          <w:caps w:val="false"/>
          <w:smallCaps w:val="false"/>
          <w:sz w:val="20"/>
        </w:rPr>
        <w:t xml:space="preserve">Boston, </w:t>
      </w:r>
      <w:bookmarkStart w:id="8" w:name="xdx_90E_edei--EntityAddressStateOrProvin"/>
      <w:bookmarkEnd w:id="8"/>
      <w:r>
        <w:rPr>
          <w:rFonts w:ascii="Times New Roman;Times;Serif" w:hAnsi="Times New Roman;Times;Serif"/>
          <w:b/>
          <w:i w:val="false"/>
          <w:caps w:val="false"/>
          <w:smallCaps w:val="false"/>
          <w:sz w:val="20"/>
        </w:rPr>
        <w:t xml:space="preserve">MA, </w:t>
      </w:r>
      <w:bookmarkStart w:id="9" w:name="xdx_90A_edei--EntityAddressPostalZipCode"/>
      <w:bookmarkEnd w:id="9"/>
      <w:r>
        <w:rPr>
          <w:rFonts w:ascii="Times New Roman;Times;Serif" w:hAnsi="Times New Roman;Times;Serif"/>
          <w:b/>
          <w:i w:val="false"/>
          <w:caps w:val="false"/>
          <w:smallCaps w:val="false"/>
          <w:sz w:val="20"/>
        </w:rPr>
        <w:t>02109</w:t>
        <w:br/>
        <w:t>(</w:t>
      </w:r>
      <w:bookmarkStart w:id="10" w:name="xdx_900_edei--CityAreaCode_c20260101__20"/>
      <w:bookmarkEnd w:id="10"/>
      <w:r>
        <w:rPr>
          <w:rFonts w:ascii="Times New Roman;Times;Serif" w:hAnsi="Times New Roman;Times;Serif"/>
          <w:b/>
          <w:i w:val="false"/>
          <w:caps w:val="false"/>
          <w:smallCaps w:val="false"/>
          <w:sz w:val="20"/>
        </w:rPr>
        <w:t xml:space="preserve">857) </w:t>
      </w:r>
      <w:bookmarkStart w:id="11" w:name="xdx_90D_edei--LocalPhoneNumber_c20260101"/>
      <w:bookmarkEnd w:id="11"/>
      <w:r>
        <w:rPr>
          <w:rFonts w:ascii="Times New Roman;Times;Serif" w:hAnsi="Times New Roman;Times;Serif"/>
          <w:b/>
          <w:i w:val="false"/>
          <w:caps w:val="false"/>
          <w:smallCaps w:val="false"/>
          <w:sz w:val="20"/>
        </w:rPr>
        <w:t>367-9002</w:t>
        <w:br/>
      </w:r>
      <w:r>
        <w:rPr>
          <w:rFonts w:ascii="Times New Roman;Times;Serif" w:hAnsi="Times New Roman;Times;Serif"/>
          <w:b w:val="false"/>
          <w:i/>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Sumit Kapur</w:t>
        <w:br/>
        <w:t>Chief Executive Officer</w:t>
        <w:br/>
        <w:t>Zapata Quantum, Inc.</w:t>
        <w:br/>
        <w:t>6 Liberty Square, #2488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02109</w:t>
        <w:br/>
        <w:t>(857) 367-9002</w:t>
        <w:br/>
      </w:r>
      <w:r>
        <w:rPr>
          <w:rFonts w:ascii="Times New Roman;Times;Serif" w:hAnsi="Times New Roman;Times;Serif"/>
          <w:b w:val="false"/>
          <w:i/>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Harris, Esq.</w:t>
        <w:br/>
        <w:t>Constantine Christakis, Esq.</w:t>
        <w:br/>
        <w:t>Nason, Yeager, Gerson, Harris &amp; Fumero, P.A.</w:t>
        <w:br/>
        <w:t>3001 PGA Boulevard, Suite 305</w:t>
        <w:br/>
        <w:t>Palm Beach Gardens, Florida 33410</w:t>
        <w:br/>
        <w:t>(561) 686-3307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of 1933,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of 1933,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sz w:val="20"/>
              </w:rPr>
            </w:pPr>
            <w:bookmarkStart w:id="12" w:name="xdx_907_edei--EntityFilerCategory_c20260"/>
            <w:bookmarkEnd w:id="12"/>
            <w:r>
              <w:rPr>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sz w:val="20"/>
              </w:rPr>
            </w:pPr>
            <w:r>
              <w:rPr>
                <w:sz w:val="20"/>
              </w:rPr>
              <w:t>Smaller reporting company</w:t>
            </w:r>
          </w:p>
        </w:tc>
        <w:tc>
          <w:tcPr>
            <w:tcW w:w="245" w:type="dxa"/>
            <w:tcBorders/>
            <w:vAlign w:val="center"/>
          </w:tcPr>
          <w:p>
            <w:pPr>
              <w:pStyle w:val="TableContents"/>
              <w:bidi w:val="0"/>
              <w:spacing w:before="0" w:after="283"/>
              <w:jc w:val="both"/>
              <w:rPr/>
            </w:pPr>
            <w:bookmarkStart w:id="13" w:name="xdx_908_edei--EntitySmallBusiness_c20260"/>
            <w:bookmarkEnd w:id="13"/>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both"/>
              <w:rPr>
                <w:sz w:val="20"/>
              </w:rPr>
            </w:pPr>
            <w:r>
              <w:rPr>
                <w:sz w:val="20"/>
              </w:rPr>
              <w:t>Emerging growth company</w:t>
            </w:r>
          </w:p>
        </w:tc>
        <w:tc>
          <w:tcPr>
            <w:tcW w:w="245" w:type="dxa"/>
            <w:tcBorders/>
            <w:vAlign w:val="center"/>
          </w:tcPr>
          <w:p>
            <w:pPr>
              <w:pStyle w:val="TableContents"/>
              <w:bidi w:val="0"/>
              <w:spacing w:before="0" w:after="283"/>
              <w:jc w:val="both"/>
              <w:rPr/>
            </w:pPr>
            <w:bookmarkStart w:id="14" w:name="xdx_907_edei--EntityEmergingGrowthCompan"/>
            <w:bookmarkEnd w:id="14"/>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15" w:name="xdx_908_edei--EntityExTransitionPeriod_c"/>
      <w:bookmarkEnd w:id="1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56,816,391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the registration statement which relates to the sale or other disposition from time to time by the selling stockholders identified in this Prospectus (the “Selling Stockholders”) of up to 56,816,391 shares of the Common Stock, par value $0.0001 per share (“Common Stock”) of Zapata Quantum, Inc. (“Zapata,” the “Company,” “we,” “our”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this Prospectus relates consist of the following: (i) up to 4,892,000 shares of Common Stock which may be issued upon the conversion of Series C Convertible Preferred Stock issued in 2025 in satisfaction of certain obligations of the Company contained in the Consent and the Conversion Agreements the Company entered into in 2025 (the “Series C”), (ii) up to 34,160,786 shares of Common Stock which may be issued upon the conversion of Series D Convertible Preferred Stock issued in 2026 (the “Series D”), (iii) up to 17,080,390 shares of Common Stock which may be issued upon the exercise of warrants issued in connection with the Series D in 2026 (the “2026 Warrants”), and (iv) up to 683,215 shares of Common Stock which may be issued upon the exercise of warrants issued in 2026 in connection with certain financing activities (the “2026 Financing Activity Warrants,” together with the 2026 Warrants and the 2025 Warrants, the “Warrants”, and all securities referred to in (i) through (iv) above, collectively, the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All of the Common Stock, when sold, will be sold by the Selling Stockholders. We are not selling any Common Stock under this Prospectus and will not receive any of the proceeds from the sale or other disposition of the Common Stock by the selling stockholders. We will, however, receive the net proceeds of any Warrants exercised for cash, if any. The Selling Stockholders received shares of Common Stock, and became entitled to receive the shares of Common Stock which are issuable upon their conversion or exercise of the Convertible Securities, which shares of Common Stock are in each such case offered by this Prospectus, in private placement transactions consummated from June 2025 through April 2026 in reliance on exemptions from registration under the Securities Act of 1933 (the “Securities Act”). Please see the section entitled “</w:t>
      </w:r>
      <w:hyperlink w:anchor="s1_007">
        <w:r>
          <w:rPr>
            <w:rStyle w:val="InternetLink"/>
            <w:rFonts w:ascii="Times New Roman;Times;Serif" w:hAnsi="Times New Roman;Times;Serif"/>
            <w:b w:val="false"/>
            <w:i w:val="false"/>
            <w:caps w:val="false"/>
            <w:smallCaps w:val="false"/>
            <w:sz w:val="20"/>
          </w:rPr>
          <w:t>Private Placements</w:t>
        </w:r>
      </w:hyperlink>
      <w:r>
        <w:rPr>
          <w:rFonts w:ascii="Times New Roman;Times;Serif" w:hAnsi="Times New Roman;Times;Serif"/>
          <w:b w:val="false"/>
          <w:i w:val="false"/>
          <w:caps w:val="false"/>
          <w:smallCaps w:val="false"/>
          <w:sz w:val="20"/>
        </w:rPr>
        <w:t>” on page 40 of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Stockholders may sell or otherwise dispose of the Common Stock covered by this Prospectus in a number of different ways and at varying prices. We provide more information about how the Selling Stockholders may sell or otherwise dispose of the Common Stock covered by this Prospectus in the section entitled “</w:t>
      </w:r>
      <w:hyperlink w:anchor="s1_009">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on page 43. For information on the selling stockholders, see the section entitled “</w:t>
      </w:r>
      <w:hyperlink w:anchor="s1_019">
        <w:r>
          <w:rPr>
            <w:rStyle w:val="InternetLink"/>
            <w:rFonts w:ascii="Times New Roman;Times;Serif" w:hAnsi="Times New Roman;Times;Serif"/>
            <w:b w:val="false"/>
            <w:i w:val="false"/>
            <w:caps w:val="false"/>
            <w:smallCaps w:val="false"/>
            <w:sz w:val="20"/>
          </w:rPr>
          <w:t>Selling Stockholders</w:t>
        </w:r>
      </w:hyperlink>
      <w:r>
        <w:rPr>
          <w:rFonts w:ascii="Times New Roman;Times;Serif" w:hAnsi="Times New Roman;Times;Serif"/>
          <w:b w:val="false"/>
          <w:i w:val="false"/>
          <w:caps w:val="false"/>
          <w:smallCaps w:val="false"/>
          <w:sz w:val="20"/>
        </w:rPr>
        <w:t>” on page 81 of this Prospectus. Discounts, concessions, commissions and similar selling expenses attributable to the sale of Common Stock covered by this Prospectus will be borne by the Selling Stockholders. We will pay all expenses (other than discounts, concessions, commissions and similar selling expenses) relating to the registration of the Common Stock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OTCQB under the symbol “ZPTA.” On July 8, 2026 the last reported sales price for our Common Stock was $1.03 per share. Prospective purchasers of our securities are urged to obtain current information as to the market prices of our securities,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An investment in our securities is subject to certain risks and should be made only by persons or entities able to bear the risk of and to withstand the total loss of their investment. Prospective investors should carefully consider and review the “</w:t>
      </w:r>
      <w:hyperlink w:anchor="s1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or other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________________, 202_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s1_001"/>
      <w:bookmarkEnd w:id="16"/>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Page</w:t>
            </w:r>
          </w:p>
        </w:tc>
      </w:tr>
      <w:tr>
        <w:trPr/>
        <w:tc>
          <w:tcPr>
            <w:tcW w:w="9750" w:type="dxa"/>
            <w:tcBorders/>
            <w:shd w:fill="CCEEFF" w:val="clear"/>
            <w:vAlign w:val="center"/>
          </w:tcPr>
          <w:p>
            <w:pPr>
              <w:pStyle w:val="TableContents"/>
              <w:bidi w:val="0"/>
              <w:spacing w:before="0" w:after="283"/>
              <w:jc w:val="left"/>
              <w:rPr/>
            </w:pPr>
            <w:hyperlink w:anchor="s1_002">
              <w:r>
                <w:rPr>
                  <w:rStyle w:val="InternetLink"/>
                  <w:sz w:val="20"/>
                </w:rPr>
                <w:t>CAUTIONARY NOTE REGARDING FORWARD-LOOKING STATEMENTS</w:t>
              </w:r>
            </w:hyperlink>
          </w:p>
        </w:tc>
        <w:tc>
          <w:tcPr>
            <w:tcW w:w="455" w:type="dxa"/>
            <w:tcBorders/>
            <w:shd w:fill="CCEEFF" w:val="clear"/>
            <w:vAlign w:val="center"/>
          </w:tcPr>
          <w:p>
            <w:pPr>
              <w:pStyle w:val="TableContents"/>
              <w:bidi w:val="0"/>
              <w:spacing w:before="0" w:after="283"/>
              <w:jc w:val="right"/>
              <w:rPr>
                <w:sz w:val="20"/>
              </w:rPr>
            </w:pPr>
            <w:r>
              <w:rPr>
                <w:sz w:val="20"/>
              </w:rPr>
              <w:t>1</w:t>
            </w:r>
          </w:p>
        </w:tc>
      </w:tr>
      <w:tr>
        <w:trPr/>
        <w:tc>
          <w:tcPr>
            <w:tcW w:w="9750" w:type="dxa"/>
            <w:tcBorders/>
            <w:shd w:fill="FFFFFF" w:val="clear"/>
            <w:vAlign w:val="center"/>
          </w:tcPr>
          <w:p>
            <w:pPr>
              <w:pStyle w:val="TableContents"/>
              <w:bidi w:val="0"/>
              <w:spacing w:before="0" w:after="283"/>
              <w:jc w:val="left"/>
              <w:rPr/>
            </w:pPr>
            <w:hyperlink w:anchor="s1_003">
              <w:r>
                <w:rPr>
                  <w:rStyle w:val="InternetLink"/>
                  <w:sz w:val="20"/>
                </w:rPr>
                <w:t>FREQUENTLY USED TERMS</w:t>
              </w:r>
            </w:hyperlink>
          </w:p>
        </w:tc>
        <w:tc>
          <w:tcPr>
            <w:tcW w:w="455" w:type="dxa"/>
            <w:tcBorders/>
            <w:shd w:fill="FFFFFF" w:val="clear"/>
            <w:vAlign w:val="center"/>
          </w:tcPr>
          <w:p>
            <w:pPr>
              <w:pStyle w:val="TableContents"/>
              <w:bidi w:val="0"/>
              <w:spacing w:before="0" w:after="283"/>
              <w:jc w:val="right"/>
              <w:rPr/>
            </w:pPr>
            <w:r>
              <w:rPr/>
              <w:t>2</w:t>
            </w:r>
          </w:p>
        </w:tc>
      </w:tr>
      <w:tr>
        <w:trPr/>
        <w:tc>
          <w:tcPr>
            <w:tcW w:w="9750" w:type="dxa"/>
            <w:tcBorders/>
            <w:shd w:fill="CCEEFF" w:val="clear"/>
            <w:vAlign w:val="center"/>
          </w:tcPr>
          <w:p>
            <w:pPr>
              <w:pStyle w:val="TableContents"/>
              <w:bidi w:val="0"/>
              <w:spacing w:before="0" w:after="283"/>
              <w:jc w:val="left"/>
              <w:rPr/>
            </w:pPr>
            <w:hyperlink w:anchor="s1_004">
              <w:r>
                <w:rPr>
                  <w:rStyle w:val="InternetLink"/>
                  <w:sz w:val="20"/>
                </w:rPr>
                <w:t>PROSPECTUS SUMMARY</w:t>
              </w:r>
            </w:hyperlink>
          </w:p>
        </w:tc>
        <w:tc>
          <w:tcPr>
            <w:tcW w:w="455" w:type="dxa"/>
            <w:tcBorders/>
            <w:shd w:fill="CCEEFF" w:val="clear"/>
            <w:vAlign w:val="center"/>
          </w:tcPr>
          <w:p>
            <w:pPr>
              <w:pStyle w:val="TableContents"/>
              <w:bidi w:val="0"/>
              <w:spacing w:before="0" w:after="283"/>
              <w:jc w:val="right"/>
              <w:rPr/>
            </w:pPr>
            <w:r>
              <w:rPr/>
              <w:t>3</w:t>
            </w:r>
          </w:p>
        </w:tc>
      </w:tr>
      <w:tr>
        <w:trPr/>
        <w:tc>
          <w:tcPr>
            <w:tcW w:w="9750" w:type="dxa"/>
            <w:tcBorders/>
            <w:shd w:fill="FFFFFF" w:val="clear"/>
            <w:vAlign w:val="center"/>
          </w:tcPr>
          <w:p>
            <w:pPr>
              <w:pStyle w:val="TableContents"/>
              <w:bidi w:val="0"/>
              <w:spacing w:before="0" w:after="283"/>
              <w:jc w:val="left"/>
              <w:rPr/>
            </w:pPr>
            <w:hyperlink w:anchor="s1_006">
              <w:r>
                <w:rPr>
                  <w:rStyle w:val="InternetLink"/>
                  <w:sz w:val="20"/>
                </w:rPr>
                <w:t>RISK FACTORS</w:t>
              </w:r>
            </w:hyperlink>
          </w:p>
        </w:tc>
        <w:tc>
          <w:tcPr>
            <w:tcW w:w="455" w:type="dxa"/>
            <w:tcBorders/>
            <w:shd w:fill="FFFFFF" w:val="clear"/>
            <w:vAlign w:val="center"/>
          </w:tcPr>
          <w:p>
            <w:pPr>
              <w:pStyle w:val="TableContents"/>
              <w:bidi w:val="0"/>
              <w:spacing w:before="0" w:after="283"/>
              <w:jc w:val="right"/>
              <w:rPr/>
            </w:pPr>
            <w:r>
              <w:rPr/>
              <w:t>8</w:t>
            </w:r>
          </w:p>
        </w:tc>
      </w:tr>
      <w:tr>
        <w:trPr/>
        <w:tc>
          <w:tcPr>
            <w:tcW w:w="9750" w:type="dxa"/>
            <w:tcBorders/>
            <w:shd w:fill="CCEEFF" w:val="clear"/>
            <w:vAlign w:val="center"/>
          </w:tcPr>
          <w:p>
            <w:pPr>
              <w:pStyle w:val="TableContents"/>
              <w:bidi w:val="0"/>
              <w:spacing w:before="0" w:after="283"/>
              <w:jc w:val="left"/>
              <w:rPr/>
            </w:pPr>
            <w:hyperlink w:anchor="s1_007">
              <w:r>
                <w:rPr>
                  <w:rStyle w:val="InternetLink"/>
                  <w:sz w:val="20"/>
                </w:rPr>
                <w:t>THE PRIVATE PLACEMENTS</w:t>
              </w:r>
            </w:hyperlink>
          </w:p>
        </w:tc>
        <w:tc>
          <w:tcPr>
            <w:tcW w:w="455" w:type="dxa"/>
            <w:tcBorders/>
            <w:shd w:fill="CCEEFF" w:val="clear"/>
            <w:vAlign w:val="center"/>
          </w:tcPr>
          <w:p>
            <w:pPr>
              <w:pStyle w:val="TableContents"/>
              <w:bidi w:val="0"/>
              <w:spacing w:before="0" w:after="283"/>
              <w:jc w:val="right"/>
              <w:rPr>
                <w:sz w:val="20"/>
              </w:rPr>
            </w:pPr>
            <w:r>
              <w:rPr>
                <w:sz w:val="20"/>
              </w:rPr>
              <w:t>40</w:t>
            </w:r>
          </w:p>
        </w:tc>
      </w:tr>
      <w:tr>
        <w:trPr/>
        <w:tc>
          <w:tcPr>
            <w:tcW w:w="9750" w:type="dxa"/>
            <w:tcBorders/>
            <w:shd w:fill="FFFFFF" w:val="clear"/>
            <w:vAlign w:val="center"/>
          </w:tcPr>
          <w:p>
            <w:pPr>
              <w:pStyle w:val="TableContents"/>
              <w:bidi w:val="0"/>
              <w:spacing w:before="0" w:after="283"/>
              <w:jc w:val="left"/>
              <w:rPr/>
            </w:pPr>
            <w:hyperlink w:anchor="s1_008">
              <w:r>
                <w:rPr>
                  <w:rStyle w:val="InternetLink"/>
                  <w:sz w:val="20"/>
                </w:rPr>
                <w:t>USE OF PROCEEDS</w:t>
              </w:r>
            </w:hyperlink>
          </w:p>
        </w:tc>
        <w:tc>
          <w:tcPr>
            <w:tcW w:w="455" w:type="dxa"/>
            <w:tcBorders/>
            <w:shd w:fill="FFFFFF" w:val="clear"/>
            <w:vAlign w:val="center"/>
          </w:tcPr>
          <w:p>
            <w:pPr>
              <w:pStyle w:val="TableContents"/>
              <w:bidi w:val="0"/>
              <w:spacing w:before="0" w:after="283"/>
              <w:jc w:val="right"/>
              <w:rPr/>
            </w:pPr>
            <w:r>
              <w:rPr/>
              <w:t>42</w:t>
            </w:r>
          </w:p>
        </w:tc>
      </w:tr>
      <w:tr>
        <w:trPr/>
        <w:tc>
          <w:tcPr>
            <w:tcW w:w="9750" w:type="dxa"/>
            <w:tcBorders/>
            <w:shd w:fill="CCEEFF" w:val="clear"/>
            <w:vAlign w:val="center"/>
          </w:tcPr>
          <w:p>
            <w:pPr>
              <w:pStyle w:val="TableContents"/>
              <w:bidi w:val="0"/>
              <w:spacing w:before="0" w:after="283"/>
              <w:jc w:val="left"/>
              <w:rPr/>
            </w:pPr>
            <w:hyperlink w:anchor="s1_009">
              <w:r>
                <w:rPr>
                  <w:rStyle w:val="InternetLink"/>
                  <w:sz w:val="20"/>
                </w:rPr>
                <w:t>PLAN OF DISTRIBUTION</w:t>
              </w:r>
            </w:hyperlink>
          </w:p>
        </w:tc>
        <w:tc>
          <w:tcPr>
            <w:tcW w:w="455" w:type="dxa"/>
            <w:tcBorders/>
            <w:shd w:fill="CCEEFF" w:val="clear"/>
            <w:vAlign w:val="center"/>
          </w:tcPr>
          <w:p>
            <w:pPr>
              <w:pStyle w:val="TableContents"/>
              <w:bidi w:val="0"/>
              <w:spacing w:before="0" w:after="283"/>
              <w:jc w:val="right"/>
              <w:rPr>
                <w:sz w:val="20"/>
              </w:rPr>
            </w:pPr>
            <w:r>
              <w:rPr>
                <w:sz w:val="20"/>
              </w:rPr>
              <w:t>43</w:t>
            </w:r>
          </w:p>
        </w:tc>
      </w:tr>
      <w:tr>
        <w:trPr/>
        <w:tc>
          <w:tcPr>
            <w:tcW w:w="9750" w:type="dxa"/>
            <w:tcBorders/>
            <w:shd w:fill="FFFFFF" w:val="clear"/>
            <w:vAlign w:val="center"/>
          </w:tcPr>
          <w:p>
            <w:pPr>
              <w:pStyle w:val="TableContents"/>
              <w:bidi w:val="0"/>
              <w:spacing w:before="0" w:after="283"/>
              <w:jc w:val="left"/>
              <w:rPr/>
            </w:pPr>
            <w:hyperlink w:anchor="s1_010">
              <w:r>
                <w:rPr>
                  <w:rStyle w:val="InternetLink"/>
                  <w:sz w:val="20"/>
                </w:rPr>
                <w:t>DIVIDEND POLICY</w:t>
              </w:r>
            </w:hyperlink>
          </w:p>
        </w:tc>
        <w:tc>
          <w:tcPr>
            <w:tcW w:w="455" w:type="dxa"/>
            <w:tcBorders/>
            <w:shd w:fill="FFFFFF" w:val="clear"/>
            <w:vAlign w:val="center"/>
          </w:tcPr>
          <w:p>
            <w:pPr>
              <w:pStyle w:val="TableContents"/>
              <w:bidi w:val="0"/>
              <w:spacing w:before="0" w:after="283"/>
              <w:jc w:val="right"/>
              <w:rPr>
                <w:sz w:val="20"/>
              </w:rPr>
            </w:pPr>
            <w:r>
              <w:rPr>
                <w:sz w:val="20"/>
              </w:rPr>
              <w:t>45</w:t>
            </w:r>
          </w:p>
        </w:tc>
      </w:tr>
      <w:tr>
        <w:trPr/>
        <w:tc>
          <w:tcPr>
            <w:tcW w:w="9750" w:type="dxa"/>
            <w:tcBorders/>
            <w:shd w:fill="CCEEFF" w:val="clear"/>
            <w:vAlign w:val="center"/>
          </w:tcPr>
          <w:p>
            <w:pPr>
              <w:pStyle w:val="TableContents"/>
              <w:bidi w:val="0"/>
              <w:spacing w:before="0" w:after="283"/>
              <w:jc w:val="left"/>
              <w:rPr/>
            </w:pPr>
            <w:hyperlink w:anchor="s1_011">
              <w:r>
                <w:rPr>
                  <w:rStyle w:val="InternetLink"/>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pPr>
            <w:r>
              <w:rPr/>
              <w:t>46</w:t>
            </w:r>
          </w:p>
        </w:tc>
      </w:tr>
      <w:tr>
        <w:trPr/>
        <w:tc>
          <w:tcPr>
            <w:tcW w:w="9750" w:type="dxa"/>
            <w:tcBorders/>
            <w:shd w:fill="FFFFFF" w:val="clear"/>
            <w:vAlign w:val="center"/>
          </w:tcPr>
          <w:p>
            <w:pPr>
              <w:pStyle w:val="TableContents"/>
              <w:bidi w:val="0"/>
              <w:spacing w:before="0" w:after="283"/>
              <w:jc w:val="left"/>
              <w:rPr/>
            </w:pPr>
            <w:hyperlink w:anchor="s1_012">
              <w:r>
                <w:rPr>
                  <w:rStyle w:val="InternetLink"/>
                  <w:sz w:val="20"/>
                </w:rPr>
                <w:t>BUSINESS</w:t>
              </w:r>
            </w:hyperlink>
          </w:p>
        </w:tc>
        <w:tc>
          <w:tcPr>
            <w:tcW w:w="455" w:type="dxa"/>
            <w:tcBorders/>
            <w:shd w:fill="FFFFFF" w:val="clear"/>
            <w:vAlign w:val="center"/>
          </w:tcPr>
          <w:p>
            <w:pPr>
              <w:pStyle w:val="TableContents"/>
              <w:bidi w:val="0"/>
              <w:spacing w:before="0" w:after="283"/>
              <w:jc w:val="right"/>
              <w:rPr>
                <w:sz w:val="20"/>
              </w:rPr>
            </w:pPr>
            <w:r>
              <w:rPr>
                <w:sz w:val="20"/>
              </w:rPr>
              <w:t>60</w:t>
            </w:r>
          </w:p>
        </w:tc>
      </w:tr>
      <w:tr>
        <w:trPr/>
        <w:tc>
          <w:tcPr>
            <w:tcW w:w="9750" w:type="dxa"/>
            <w:tcBorders/>
            <w:shd w:fill="CCEEFF" w:val="clear"/>
            <w:vAlign w:val="center"/>
          </w:tcPr>
          <w:p>
            <w:pPr>
              <w:pStyle w:val="TableContents"/>
              <w:bidi w:val="0"/>
              <w:spacing w:before="0" w:after="283"/>
              <w:jc w:val="left"/>
              <w:rPr/>
            </w:pPr>
            <w:hyperlink w:anchor="s1_013">
              <w:r>
                <w:rPr>
                  <w:rStyle w:val="InternetLink"/>
                  <w:sz w:val="20"/>
                </w:rPr>
                <w:t>MARKET FOR COMMON STOCK</w:t>
              </w:r>
            </w:hyperlink>
          </w:p>
        </w:tc>
        <w:tc>
          <w:tcPr>
            <w:tcW w:w="455" w:type="dxa"/>
            <w:tcBorders/>
            <w:shd w:fill="CCEEFF" w:val="clear"/>
            <w:vAlign w:val="center"/>
          </w:tcPr>
          <w:p>
            <w:pPr>
              <w:pStyle w:val="TableContents"/>
              <w:bidi w:val="0"/>
              <w:spacing w:before="0" w:after="283"/>
              <w:jc w:val="right"/>
              <w:rPr>
                <w:sz w:val="20"/>
              </w:rPr>
            </w:pPr>
            <w:r>
              <w:rPr>
                <w:sz w:val="20"/>
              </w:rPr>
              <w:t>69</w:t>
            </w:r>
          </w:p>
        </w:tc>
      </w:tr>
      <w:tr>
        <w:trPr/>
        <w:tc>
          <w:tcPr>
            <w:tcW w:w="9750" w:type="dxa"/>
            <w:tcBorders/>
            <w:shd w:fill="FFFFFF" w:val="clear"/>
            <w:vAlign w:val="center"/>
          </w:tcPr>
          <w:p>
            <w:pPr>
              <w:pStyle w:val="TableContents"/>
              <w:bidi w:val="0"/>
              <w:spacing w:before="0" w:after="283"/>
              <w:jc w:val="left"/>
              <w:rPr/>
            </w:pPr>
            <w:hyperlink w:anchor="s1_014">
              <w:r>
                <w:rPr>
                  <w:rStyle w:val="InternetLink"/>
                  <w:sz w:val="20"/>
                </w:rPr>
                <w:t>MANAGEMENT</w:t>
              </w:r>
            </w:hyperlink>
          </w:p>
        </w:tc>
        <w:tc>
          <w:tcPr>
            <w:tcW w:w="455" w:type="dxa"/>
            <w:tcBorders/>
            <w:shd w:fill="FFFFFF" w:val="clear"/>
            <w:vAlign w:val="center"/>
          </w:tcPr>
          <w:p>
            <w:pPr>
              <w:pStyle w:val="TableContents"/>
              <w:bidi w:val="0"/>
              <w:spacing w:before="0" w:after="283"/>
              <w:jc w:val="right"/>
              <w:rPr>
                <w:sz w:val="20"/>
              </w:rPr>
            </w:pPr>
            <w:r>
              <w:rPr>
                <w:sz w:val="20"/>
              </w:rPr>
              <w:t>70</w:t>
            </w:r>
          </w:p>
        </w:tc>
      </w:tr>
      <w:tr>
        <w:trPr/>
        <w:tc>
          <w:tcPr>
            <w:tcW w:w="9750" w:type="dxa"/>
            <w:tcBorders/>
            <w:shd w:fill="CCEEFF" w:val="clear"/>
            <w:vAlign w:val="center"/>
          </w:tcPr>
          <w:p>
            <w:pPr>
              <w:pStyle w:val="TableContents"/>
              <w:bidi w:val="0"/>
              <w:spacing w:before="0" w:after="283"/>
              <w:jc w:val="left"/>
              <w:rPr/>
            </w:pPr>
            <w:hyperlink w:anchor="s1_015">
              <w:r>
                <w:rPr>
                  <w:rStyle w:val="InternetLink"/>
                  <w:sz w:val="20"/>
                </w:rPr>
                <w:t>CERTAIN RELATIONSHIPS AND RELATED PARTY TRANSACTIONS</w:t>
              </w:r>
            </w:hyperlink>
          </w:p>
        </w:tc>
        <w:tc>
          <w:tcPr>
            <w:tcW w:w="455" w:type="dxa"/>
            <w:tcBorders/>
            <w:shd w:fill="CCEEFF" w:val="clear"/>
            <w:vAlign w:val="center"/>
          </w:tcPr>
          <w:p>
            <w:pPr>
              <w:pStyle w:val="TableContents"/>
              <w:bidi w:val="0"/>
              <w:spacing w:before="0" w:after="283"/>
              <w:jc w:val="right"/>
              <w:rPr/>
            </w:pPr>
            <w:r>
              <w:rPr/>
              <w:t>71</w:t>
            </w:r>
          </w:p>
        </w:tc>
      </w:tr>
      <w:tr>
        <w:trPr/>
        <w:tc>
          <w:tcPr>
            <w:tcW w:w="9750" w:type="dxa"/>
            <w:tcBorders/>
            <w:shd w:fill="FFFFFF" w:val="clear"/>
            <w:vAlign w:val="center"/>
          </w:tcPr>
          <w:p>
            <w:pPr>
              <w:pStyle w:val="TableContents"/>
              <w:bidi w:val="0"/>
              <w:spacing w:before="0" w:after="283"/>
              <w:jc w:val="left"/>
              <w:rPr/>
            </w:pPr>
            <w:hyperlink w:anchor="s1_016">
              <w:r>
                <w:rPr>
                  <w:rStyle w:val="InternetLink"/>
                  <w:sz w:val="20"/>
                </w:rPr>
                <w:t>EXECUTIVE COMPENSATION</w:t>
              </w:r>
            </w:hyperlink>
          </w:p>
        </w:tc>
        <w:tc>
          <w:tcPr>
            <w:tcW w:w="455" w:type="dxa"/>
            <w:tcBorders/>
            <w:shd w:fill="FFFFFF" w:val="clear"/>
            <w:vAlign w:val="center"/>
          </w:tcPr>
          <w:p>
            <w:pPr>
              <w:pStyle w:val="TableContents"/>
              <w:bidi w:val="0"/>
              <w:spacing w:before="0" w:after="283"/>
              <w:jc w:val="right"/>
              <w:rPr>
                <w:sz w:val="20"/>
              </w:rPr>
            </w:pPr>
            <w:r>
              <w:rPr>
                <w:sz w:val="20"/>
              </w:rPr>
              <w:t>72</w:t>
            </w:r>
          </w:p>
        </w:tc>
      </w:tr>
      <w:tr>
        <w:trPr/>
        <w:tc>
          <w:tcPr>
            <w:tcW w:w="9750" w:type="dxa"/>
            <w:tcBorders/>
            <w:shd w:fill="CCEEFF" w:val="clear"/>
            <w:vAlign w:val="center"/>
          </w:tcPr>
          <w:p>
            <w:pPr>
              <w:pStyle w:val="TableContents"/>
              <w:bidi w:val="0"/>
              <w:spacing w:before="0" w:after="283"/>
              <w:jc w:val="left"/>
              <w:rPr/>
            </w:pPr>
            <w:hyperlink w:anchor="s1_017">
              <w:r>
                <w:rPr>
                  <w:rStyle w:val="InternetLink"/>
                  <w:sz w:val="20"/>
                </w:rPr>
                <w:t>PRINCIPAL STOCKHOLDERS</w:t>
              </w:r>
            </w:hyperlink>
          </w:p>
        </w:tc>
        <w:tc>
          <w:tcPr>
            <w:tcW w:w="455" w:type="dxa"/>
            <w:tcBorders/>
            <w:shd w:fill="CCEEFF" w:val="clear"/>
            <w:vAlign w:val="center"/>
          </w:tcPr>
          <w:p>
            <w:pPr>
              <w:pStyle w:val="TableContents"/>
              <w:bidi w:val="0"/>
              <w:spacing w:before="0" w:after="283"/>
              <w:jc w:val="right"/>
              <w:rPr>
                <w:sz w:val="20"/>
              </w:rPr>
            </w:pPr>
            <w:r>
              <w:rPr>
                <w:sz w:val="20"/>
              </w:rPr>
              <w:t>75</w:t>
            </w:r>
          </w:p>
        </w:tc>
      </w:tr>
      <w:tr>
        <w:trPr/>
        <w:tc>
          <w:tcPr>
            <w:tcW w:w="9750" w:type="dxa"/>
            <w:tcBorders/>
            <w:shd w:fill="FFFFFF" w:val="clear"/>
            <w:vAlign w:val="center"/>
          </w:tcPr>
          <w:p>
            <w:pPr>
              <w:pStyle w:val="TableContents"/>
              <w:bidi w:val="0"/>
              <w:spacing w:before="0" w:after="283"/>
              <w:jc w:val="left"/>
              <w:rPr/>
            </w:pPr>
            <w:hyperlink w:anchor="s1_018">
              <w:r>
                <w:rPr>
                  <w:rStyle w:val="InternetLink"/>
                  <w:sz w:val="20"/>
                </w:rPr>
                <w:t>DESCRIPTION OF OUR SECURITIES</w:t>
              </w:r>
            </w:hyperlink>
          </w:p>
        </w:tc>
        <w:tc>
          <w:tcPr>
            <w:tcW w:w="455" w:type="dxa"/>
            <w:tcBorders/>
            <w:shd w:fill="FFFFFF" w:val="clear"/>
            <w:vAlign w:val="center"/>
          </w:tcPr>
          <w:p>
            <w:pPr>
              <w:pStyle w:val="TableContents"/>
              <w:bidi w:val="0"/>
              <w:spacing w:before="0" w:after="283"/>
              <w:jc w:val="right"/>
              <w:rPr>
                <w:sz w:val="20"/>
              </w:rPr>
            </w:pPr>
            <w:r>
              <w:rPr>
                <w:sz w:val="20"/>
              </w:rPr>
              <w:t>78</w:t>
            </w:r>
          </w:p>
        </w:tc>
      </w:tr>
      <w:tr>
        <w:trPr/>
        <w:tc>
          <w:tcPr>
            <w:tcW w:w="9750" w:type="dxa"/>
            <w:tcBorders/>
            <w:shd w:fill="CCEEFF" w:val="clear"/>
            <w:vAlign w:val="center"/>
          </w:tcPr>
          <w:p>
            <w:pPr>
              <w:pStyle w:val="TableContents"/>
              <w:bidi w:val="0"/>
              <w:spacing w:before="0" w:after="283"/>
              <w:jc w:val="left"/>
              <w:rPr/>
            </w:pPr>
            <w:hyperlink w:anchor="s1_019">
              <w:r>
                <w:rPr>
                  <w:rStyle w:val="InternetLink"/>
                  <w:sz w:val="20"/>
                </w:rPr>
                <w:t>THE SELLING STOCKHOLDERS</w:t>
              </w:r>
            </w:hyperlink>
          </w:p>
        </w:tc>
        <w:tc>
          <w:tcPr>
            <w:tcW w:w="455" w:type="dxa"/>
            <w:tcBorders/>
            <w:shd w:fill="CCEEFF" w:val="clear"/>
            <w:vAlign w:val="center"/>
          </w:tcPr>
          <w:p>
            <w:pPr>
              <w:pStyle w:val="TableContents"/>
              <w:bidi w:val="0"/>
              <w:spacing w:before="0" w:after="283"/>
              <w:jc w:val="right"/>
              <w:rPr>
                <w:sz w:val="20"/>
              </w:rPr>
            </w:pPr>
            <w:r>
              <w:rPr>
                <w:sz w:val="20"/>
              </w:rPr>
              <w:t>81</w:t>
            </w:r>
          </w:p>
        </w:tc>
      </w:tr>
      <w:tr>
        <w:trPr/>
        <w:tc>
          <w:tcPr>
            <w:tcW w:w="9750" w:type="dxa"/>
            <w:tcBorders/>
            <w:shd w:fill="FFFFFF" w:val="clear"/>
            <w:vAlign w:val="center"/>
          </w:tcPr>
          <w:p>
            <w:pPr>
              <w:pStyle w:val="TableContents"/>
              <w:bidi w:val="0"/>
              <w:spacing w:before="0" w:after="283"/>
              <w:jc w:val="left"/>
              <w:rPr/>
            </w:pPr>
            <w:hyperlink w:anchor="s1_020">
              <w:r>
                <w:rPr>
                  <w:rStyle w:val="InternetLink"/>
                </w:rPr>
                <w:t>DISCLOSURE OF COMMISSION POSITION ON INDEMNIFICATION FOR SECURITIES ACT LIABILITIES</w:t>
              </w:r>
            </w:hyperlink>
          </w:p>
        </w:tc>
        <w:tc>
          <w:tcPr>
            <w:tcW w:w="455" w:type="dxa"/>
            <w:tcBorders/>
            <w:shd w:fill="FFFFFF" w:val="clear"/>
            <w:vAlign w:val="center"/>
          </w:tcPr>
          <w:p>
            <w:pPr>
              <w:pStyle w:val="TableContents"/>
              <w:bidi w:val="0"/>
              <w:spacing w:before="0" w:after="283"/>
              <w:jc w:val="right"/>
              <w:rPr/>
            </w:pPr>
            <w:r>
              <w:rPr/>
              <w:t>84</w:t>
            </w:r>
          </w:p>
        </w:tc>
      </w:tr>
      <w:tr>
        <w:trPr/>
        <w:tc>
          <w:tcPr>
            <w:tcW w:w="9750" w:type="dxa"/>
            <w:tcBorders/>
            <w:shd w:fill="CCEEFF" w:val="clear"/>
            <w:vAlign w:val="center"/>
          </w:tcPr>
          <w:p>
            <w:pPr>
              <w:pStyle w:val="TableContents"/>
              <w:bidi w:val="0"/>
              <w:spacing w:before="0" w:after="283"/>
              <w:jc w:val="left"/>
              <w:rPr/>
            </w:pPr>
            <w:hyperlink w:anchor="s1_021">
              <w:r>
                <w:rPr>
                  <w:rStyle w:val="InternetLink"/>
                  <w:sz w:val="20"/>
                </w:rPr>
                <w:t>LEGAL PROCEEDINGS</w:t>
              </w:r>
            </w:hyperlink>
          </w:p>
        </w:tc>
        <w:tc>
          <w:tcPr>
            <w:tcW w:w="455" w:type="dxa"/>
            <w:tcBorders/>
            <w:shd w:fill="CCEEFF" w:val="clear"/>
            <w:vAlign w:val="center"/>
          </w:tcPr>
          <w:p>
            <w:pPr>
              <w:pStyle w:val="TableContents"/>
              <w:bidi w:val="0"/>
              <w:spacing w:before="0" w:after="283"/>
              <w:jc w:val="right"/>
              <w:rPr>
                <w:sz w:val="20"/>
              </w:rPr>
            </w:pPr>
            <w:r>
              <w:rPr>
                <w:sz w:val="20"/>
              </w:rPr>
              <w:t>84</w:t>
            </w:r>
          </w:p>
        </w:tc>
      </w:tr>
      <w:tr>
        <w:trPr/>
        <w:tc>
          <w:tcPr>
            <w:tcW w:w="9750" w:type="dxa"/>
            <w:tcBorders/>
            <w:shd w:fill="FFFFFF" w:val="clear"/>
            <w:vAlign w:val="center"/>
          </w:tcPr>
          <w:p>
            <w:pPr>
              <w:pStyle w:val="TableContents"/>
              <w:bidi w:val="0"/>
              <w:spacing w:before="0" w:after="283"/>
              <w:jc w:val="left"/>
              <w:rPr/>
            </w:pPr>
            <w:hyperlink w:anchor="s1_022">
              <w:r>
                <w:rPr>
                  <w:rStyle w:val="InternetLink"/>
                  <w:sz w:val="20"/>
                </w:rPr>
                <w:t>LEGAL MATTERS</w:t>
              </w:r>
            </w:hyperlink>
          </w:p>
        </w:tc>
        <w:tc>
          <w:tcPr>
            <w:tcW w:w="455" w:type="dxa"/>
            <w:tcBorders/>
            <w:shd w:fill="FFFFFF" w:val="clear"/>
            <w:vAlign w:val="center"/>
          </w:tcPr>
          <w:p>
            <w:pPr>
              <w:pStyle w:val="TableContents"/>
              <w:bidi w:val="0"/>
              <w:spacing w:before="0" w:after="283"/>
              <w:jc w:val="right"/>
              <w:rPr/>
            </w:pPr>
            <w:r>
              <w:rPr/>
              <w:t>84</w:t>
            </w:r>
          </w:p>
        </w:tc>
      </w:tr>
      <w:tr>
        <w:trPr/>
        <w:tc>
          <w:tcPr>
            <w:tcW w:w="9750" w:type="dxa"/>
            <w:tcBorders/>
            <w:shd w:fill="CCEEFF" w:val="clear"/>
            <w:vAlign w:val="center"/>
          </w:tcPr>
          <w:p>
            <w:pPr>
              <w:pStyle w:val="TableContents"/>
              <w:bidi w:val="0"/>
              <w:spacing w:before="0" w:after="283"/>
              <w:jc w:val="left"/>
              <w:rPr/>
            </w:pPr>
            <w:hyperlink w:anchor="s1_023">
              <w:r>
                <w:rPr>
                  <w:rStyle w:val="InternetLink"/>
                  <w:sz w:val="20"/>
                </w:rPr>
                <w:t>EXPERTS</w:t>
              </w:r>
            </w:hyperlink>
          </w:p>
        </w:tc>
        <w:tc>
          <w:tcPr>
            <w:tcW w:w="455" w:type="dxa"/>
            <w:tcBorders/>
            <w:shd w:fill="CCEEFF" w:val="clear"/>
            <w:vAlign w:val="center"/>
          </w:tcPr>
          <w:p>
            <w:pPr>
              <w:pStyle w:val="TableContents"/>
              <w:bidi w:val="0"/>
              <w:spacing w:before="0" w:after="283"/>
              <w:jc w:val="right"/>
              <w:rPr>
                <w:sz w:val="20"/>
              </w:rPr>
            </w:pPr>
            <w:r>
              <w:rPr>
                <w:sz w:val="20"/>
              </w:rPr>
              <w:t>84</w:t>
            </w:r>
          </w:p>
        </w:tc>
      </w:tr>
      <w:tr>
        <w:trPr/>
        <w:tc>
          <w:tcPr>
            <w:tcW w:w="9750" w:type="dxa"/>
            <w:tcBorders/>
            <w:shd w:fill="FFFFFF" w:val="clear"/>
            <w:vAlign w:val="center"/>
          </w:tcPr>
          <w:p>
            <w:pPr>
              <w:pStyle w:val="TableContents"/>
              <w:bidi w:val="0"/>
              <w:spacing w:before="0" w:after="283"/>
              <w:jc w:val="left"/>
              <w:rPr/>
            </w:pPr>
            <w:hyperlink w:anchor="s1_024">
              <w:r>
                <w:rPr>
                  <w:rStyle w:val="InternetLink"/>
                  <w:sz w:val="20"/>
                </w:rPr>
                <w:t>WHERE YOU CAN FIND MORE INFORMATION</w:t>
              </w:r>
            </w:hyperlink>
          </w:p>
        </w:tc>
        <w:tc>
          <w:tcPr>
            <w:tcW w:w="455" w:type="dxa"/>
            <w:tcBorders/>
            <w:shd w:fill="FFFFFF" w:val="clear"/>
            <w:vAlign w:val="center"/>
          </w:tcPr>
          <w:p>
            <w:pPr>
              <w:pStyle w:val="TableContents"/>
              <w:bidi w:val="0"/>
              <w:spacing w:before="0" w:after="283"/>
              <w:jc w:val="right"/>
              <w:rPr>
                <w:sz w:val="20"/>
              </w:rPr>
            </w:pPr>
            <w:r>
              <w:rPr>
                <w:sz w:val="20"/>
              </w:rPr>
              <w:t>85</w:t>
            </w:r>
          </w:p>
        </w:tc>
      </w:tr>
      <w:tr>
        <w:trPr/>
        <w:tc>
          <w:tcPr>
            <w:tcW w:w="9750" w:type="dxa"/>
            <w:tcBorders/>
            <w:shd w:fill="CCEEFF" w:val="clear"/>
            <w:vAlign w:val="center"/>
          </w:tcPr>
          <w:p>
            <w:pPr>
              <w:pStyle w:val="TableContents"/>
              <w:bidi w:val="0"/>
              <w:spacing w:before="0" w:after="283"/>
              <w:jc w:val="left"/>
              <w:rPr/>
            </w:pPr>
            <w:hyperlink w:anchor="s1_025">
              <w:r>
                <w:rPr>
                  <w:rStyle w:val="InternetLink"/>
                  <w:sz w:val="20"/>
                </w:rPr>
                <w:t>FINANCIAL STATEMENTS</w:t>
              </w:r>
            </w:hyperlink>
          </w:p>
        </w:tc>
        <w:tc>
          <w:tcPr>
            <w:tcW w:w="455" w:type="dxa"/>
            <w:tcBorders/>
            <w:shd w:fill="CCEEFF" w:val="clear"/>
            <w:vAlign w:val="center"/>
          </w:tcPr>
          <w:p>
            <w:pPr>
              <w:pStyle w:val="TableContents"/>
              <w:bidi w:val="0"/>
              <w:spacing w:before="0" w:after="283"/>
              <w:jc w:val="right"/>
              <w:rPr>
                <w:sz w:val="20"/>
              </w:rPr>
            </w:pPr>
            <w:r>
              <w:rPr>
                <w:sz w:val="20"/>
              </w:rPr>
              <w:t>F-1</w:t>
            </w:r>
          </w:p>
        </w:tc>
      </w:tr>
      <w:tr>
        <w:trPr/>
        <w:tc>
          <w:tcPr>
            <w:tcW w:w="9750" w:type="dxa"/>
            <w:tcBorders/>
            <w:shd w:fill="FFFFFF" w:val="clear"/>
            <w:vAlign w:val="center"/>
          </w:tcPr>
          <w:p>
            <w:pPr>
              <w:pStyle w:val="TableContents"/>
              <w:bidi w:val="0"/>
              <w:spacing w:before="0" w:after="283"/>
              <w:jc w:val="left"/>
              <w:rPr/>
            </w:pPr>
            <w:hyperlink w:anchor="s1_027">
              <w:r>
                <w:rPr>
                  <w:rStyle w:val="InternetLink"/>
                  <w:sz w:val="20"/>
                </w:rPr>
                <w:t>EXHIBIT INDEX</w:t>
              </w:r>
            </w:hyperlink>
          </w:p>
        </w:tc>
        <w:tc>
          <w:tcPr>
            <w:tcW w:w="455" w:type="dxa"/>
            <w:tcBorders/>
            <w:shd w:fill="FFFFFF" w:val="clear"/>
            <w:vAlign w:val="center"/>
          </w:tcPr>
          <w:p>
            <w:pPr>
              <w:pStyle w:val="TableContents"/>
              <w:bidi w:val="0"/>
              <w:spacing w:before="0" w:after="283"/>
              <w:jc w:val="right"/>
              <w:rPr>
                <w:sz w:val="20"/>
              </w:rPr>
            </w:pPr>
            <w:r>
              <w:rPr>
                <w:sz w:val="20"/>
              </w:rPr>
              <w:t>II-5</w:t>
            </w:r>
          </w:p>
        </w:tc>
      </w:tr>
      <w:tr>
        <w:trPr/>
        <w:tc>
          <w:tcPr>
            <w:tcW w:w="9750" w:type="dxa"/>
            <w:tcBorders/>
            <w:shd w:fill="CCEEFF" w:val="clear"/>
            <w:vAlign w:val="center"/>
          </w:tcPr>
          <w:p>
            <w:pPr>
              <w:pStyle w:val="TableContents"/>
              <w:bidi w:val="0"/>
              <w:spacing w:before="0" w:after="283"/>
              <w:jc w:val="left"/>
              <w:rPr/>
            </w:pPr>
            <w:hyperlink w:anchor="s1_028">
              <w:r>
                <w:rPr>
                  <w:rStyle w:val="InternetLink"/>
                  <w:sz w:val="20"/>
                </w:rPr>
                <w:t>SIGNATURES</w:t>
              </w:r>
            </w:hyperlink>
          </w:p>
        </w:tc>
        <w:tc>
          <w:tcPr>
            <w:tcW w:w="455" w:type="dxa"/>
            <w:tcBorders/>
            <w:shd w:fill="CCEEFF" w:val="clear"/>
            <w:vAlign w:val="center"/>
          </w:tcPr>
          <w:p>
            <w:pPr>
              <w:pStyle w:val="TableContents"/>
              <w:bidi w:val="0"/>
              <w:spacing w:before="0" w:after="283"/>
              <w:jc w:val="right"/>
              <w:rPr>
                <w:sz w:val="20"/>
              </w:rPr>
            </w:pPr>
            <w:r>
              <w:rPr>
                <w:sz w:val="20"/>
              </w:rPr>
              <w:t>II-7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offering to sell, and seeking offers to buy, our securities only in jurisdictions where such offers and sales are permitted. You should rely only on the information contained in this Prospectus. We have not authorized anyone to provide you with any information other than the information contained in this Prospectus. The information contained in this Prospectus is accurate only as of the date of this Prospectus or such other date stated in this Prospectus, regardless of the time of our delivery or of any sale or delivery of our securities and our business, financial condition, results of operations and/or prospects may have changed since those dates. Neither the delivery of this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data contained in this Prospectus concerning our business are based on information from various public sources. Although we believe that these data are generally reliable, such information is inherently imprecise, and our estimates and expectations based on these data involve a number of assumptions and limitations. As a result, you are cautioned not to give undue weight to such data, estimates or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indicates otherwise, references to “Zapata,” “we,” the “Company,” “our” and “us” refer to the activities of and the assets and liabilities of the business and operations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1_002"/>
      <w:bookmarkEnd w:id="17"/>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documents incorporated by reference into this Prospectus, contain “forward-looking statements,” including statements that express plans, anticipation, intent, contingency, goals, targets or future development and/or otherwise are not statements of historical fact, including expectations relating to our plans with respect to business and consideration of strategic alternatives and our ability to raise the necessary working capital. Forward-looking statements can generally be identified by the use of words such as “anticipate,” “expect,” “plan,” “could,” “may,” “will,” “should,” “would,” “intend,” “seem,” “potential,” “appear,” “continue,” “future,” “believe,” “estimate,” “forecast,” “project” and other words of similar meaning, although not all forward-looking statements contain these identifying words. In particular, these forward-looking statements include, among others, statements about our expectations for prospective future growth, operating results and financial condition, the trading market and liquidity of our Common Stock, potential future trends and developments within our industry and the U.S. and global economies generally, including regulatory developments, competition, plans and expectations for our future business plan and capital raising efforts, expectations and plans with respect to our products and services including the potential market opportunities for, timing, features, and demand for such products and services, and liquidity and sources of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our current expectations and projections and involve estimates, assumptions, risks and uncertainties that could cause actual results to differ materially from those expressed in them. Any forward-looking statements are qualified in their entirety by reference to the factors discussed in this Prospectus and the documents incorporated by reference herein. Important factors that could cause actual results to differ from those in the forward-looking statements include the risks and uncertainties arising from the possibility that estimates, projections and assumptions on which the forward-looking statements are based prove to be incorrect, our ability to access and deploy the necessary capital to re-establish, grow and maintain revenue-generating operations, central bank interest rates and future interest rate changes, the risks arising from the impact of inflation, affordability, the state of the U.S. economy including issues caused by inflation and uncertainty about interest rates, uncertainty surrounding and impacts arising from geopolitical conflicts such as those occurring in the Middle East and Ukraine and a recession which may result on the Company’s business and prospects, and on the national and global economy, our ability to maintain and protect intellectual property rights, the risk that software and technology infrastructure on which we depend fail to perform as designed or intended, the possibility that competitors may develop or access technology with similar or superior capabilities to our technology offerings, the potential for regulatory changes impacting quantum computing, artificial intelligence, data privacy and other areas that impact the Company’s business, and the ability of us and third parties on which we depend to comply with applicable regulatory requirements, and the risk that software and technology infrastructure on which we depend fail to perform as designed or intended. We also refer you to the Risk Factors which begin on page 8 of this Prospectus, and the other documents incorporated by reference into this Prospectus for both an expanded discussion of the risks and uncertainties described above and additional risks and uncertainties that could cause actual results to differ materially and adversely from those expressed or implied by forward-looking statements. Factors or events that could cause our actual results to differ may emerge at any time or from time to time, and it is not possible for us to predict all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herein, completely and with the understanding that our actual future results may be materially different from what we expect. You are cautioned not to place undue reliance on the forward-looking statements contained in, or incorporated by reference into, this Prospectus. Each forward-looking statement speaks only as of the date of this Prospectus or, in the case of documents incorporated by reference, the date of the applicable document (or any earlier date indicated in the statement), and we undertake no obligation to update or revise any of these statements, whether as a result of new information, future developments or otherwise, except as required by law.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18" w:name="s1_003"/>
      <w:bookmarkEnd w:id="18"/>
      <w:r>
        <w:rPr>
          <w:rFonts w:ascii="Times New Roman;Times;Serif" w:hAnsi="Times New Roman;Times;Serif"/>
          <w:b/>
          <w:i w:val="false"/>
          <w:caps w:val="false"/>
          <w:smallCaps w:val="false"/>
          <w:sz w:val="20"/>
        </w:rPr>
        <w:t>FREQUENTLY USED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document: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means artificial intelligence”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Agreement” means the Business Combination Agreement, dated as of September 6, 2023, by and among the Company, Merger Sub and Legacy Zapata.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Common Stock” means the Common Stock of the Company, par value $0.0001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DGCL” means the General Corporation Law of the State of Delaware.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U.S. Securities Exchange Act of 1934.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IP” means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Zapata” means Zapata Computing, Inc., a Delaware 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means the merger of Merger Sub with and into Legacy Zapata with Legacy Zapata that occurred on March 28, 2024, with Legacy Zapata surviving the Merger as a wholly owned subsidiary of the Company as contemplated by the Business Combination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Tigre Merger Sub, Inc., a Delaware corporation and wholly owned direct subsidiary of the Company prior to the closing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Stock” means the preferred stock of the Company, par value $0.0001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Sarbanes-Oxley Act” means the Sarbanes-Oxley Act of 2002.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Secured Notes” means the senior secured promissory notes issued by Zapata and its subsidiary, the obligations of which are secured by the assets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s1_004"/>
      <w:bookmarkEnd w:id="19"/>
      <w:r>
        <w:rPr>
          <w:rFonts w:ascii="Times New Roman;Times;Serif" w:hAnsi="Times New Roman;Times;Serif"/>
          <w:b/>
          <w:i w:val="false"/>
          <w:caps w:val="false"/>
          <w:smallCaps w:val="false"/>
          <w:sz w:val="20"/>
        </w:rPr>
        <w:t>PROSPECTUS SUMMARY</w:t>
      </w:r>
    </w:p>
    <w:p>
      <w:pPr>
        <w:pStyle w:val="TextBody"/>
        <w:bidi w:val="0"/>
        <w:spacing w:before="0" w:after="0"/>
        <w:ind w:left="0" w:right="0" w:firstLine="40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summary highlights selected information that is presented in greater detail elsewhere in this Prospectus. This summary does not contain all the information you should consider before investing in our Common Stock. You should read this entire Prospectus carefully, including the sections titled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and “</w:t>
      </w:r>
      <w:hyperlink w:anchor="s1_01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r>
        <w:rPr>
          <w:rFonts w:ascii="Times New Roman;Times;Serif" w:hAnsi="Times New Roman;Times;Serif"/>
          <w:b w:val="false"/>
          <w:i w:val="false"/>
          <w:caps w:val="false"/>
          <w:smallCaps w:val="false"/>
          <w:sz w:val="20"/>
        </w:rPr>
        <w:t>,” and our financial statements and the related notes included elsewhere in this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Us – 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is a leading pure-play hardware-agnostic quantum software company. Following a strategic realignment in 2025, the Company offers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software platform for quantum computing applications is based on our patented technology and supports a wide range of use cases in cryptography, pharmaceuticals, manufacturing, materials discovery and defense. The Company is the only organization to have participated across all technical areas of the Defense Advanced Research Projects Agency’s (“DARPA”)’s Quantum Benchmarking program and has worked with Fortune 500 enterprises and government agencies to unlock the potential of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we consummated the business combination contemplated by the Business Combination Agreement, dated September 6, 2023, by and among the Company, Merger Sub and Legacy Zapata. Pursuant to the Business Combination Agreement, the Merger took place pursuant to which Merger Sub merged with and into Legacy Zapata resulting in Legacy Zapata becoming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recommencing operations, the Company has also entered into advisory agreements with third parties and agreed to compensate such parties in the form of equity and/or cash compensation. Immediately following the business combination, the Company had substantial near-term liquidity needs. As disclosed in the Company's Quarterly Report on Form 10-Q for the quarter ended March 31, 2024, the Company had total liabilities of $30.9 million, including $23.1 million of current liabilities, compared to total assets of $9.9 million, including $7.3 million of cash. As a result, the Company required additional financing to satisfy its obligations and continue operations. The Company's suspension of operations resulted primarily from its overall liquidity constraints and inability to obtain sufficient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 Following the restructuring and financings completed in 2025 and 2026, the Company has resumed active operations. The Company has rehired key personnel across research and development, product, strategy and operations, and commercial functions, including its Chief Technology Officer, Vice President of Strategy and Operations, Vice President of Product, and Senior Director of Partnerships and Go-to-Market. As disclosed in Financial Note 1 to the Financial Statements, management expects the Company's existing cash to be sufficient to fund its current operating plan for at least twelve months from the issuance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Company’s business plans and operations described herein, and our ability to execute and continue with such efforts, will depend on our ability to raise capital needed to repay vendors and creditors, rehire various personnel and fund our working capital and growth needs. Further, our capital raising efforts and business and operations generally are subject to numerous risks and uncertainties, as described under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beginning at page 8.</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are located at 6 Liberty Square, #2488, Boston, MA 02109. Our main telephone number is (857) 367-9002. Our website address is www.zapataquantum.com. We have not incorporated by reference into this Prospectus the information that can be accessed through our website and you should not consider it to be part of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These filings are available to the public through the SEC’s website at http://www.sec.gov. All statements made in any of our securities filings, including all forward-looking statements or information, are made as of the date of the document in which the statement is included unless otherwise specified, and we do not assume or undertake any obligation to update any of those statements or documents unless we are required to do so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1_005"/>
      <w:bookmarkEnd w:id="20"/>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7"/>
        <w:gridCol w:w="60"/>
        <w:gridCol w:w="7948"/>
      </w:tblGrid>
      <w:tr>
        <w:trPr/>
        <w:tc>
          <w:tcPr>
            <w:tcW w:w="2197" w:type="dxa"/>
            <w:tcBorders/>
            <w:shd w:fill="CCEEFF" w:val="clear"/>
            <w:vAlign w:val="center"/>
          </w:tcPr>
          <w:p>
            <w:pPr>
              <w:pStyle w:val="TableContents"/>
              <w:bidi w:val="0"/>
              <w:spacing w:before="0" w:after="283"/>
              <w:jc w:val="left"/>
              <w:rPr>
                <w:b/>
                <w:sz w:val="20"/>
              </w:rPr>
            </w:pPr>
            <w:r>
              <w:rPr>
                <w:b/>
                <w:sz w:val="20"/>
              </w:rPr>
              <w:t>Issuer:</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Zapata Quantum, Inc.</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Shares Offered by the Selling Stockholders:</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Up to 56,816,391 shares of Common Stock previously issued or issuable upon the conversion or exercise of the Convertible Securities. See “</w:t>
            </w:r>
            <w:hyperlink w:anchor="s1_007">
              <w:r>
                <w:rPr>
                  <w:rStyle w:val="InternetLink"/>
                  <w:sz w:val="20"/>
                </w:rPr>
                <w:t>The Private Placements</w:t>
              </w:r>
            </w:hyperlink>
            <w:r>
              <w:rPr>
                <w:sz w:val="20"/>
              </w:rPr>
              <w:t>” at page 40 and “</w:t>
            </w:r>
            <w:hyperlink w:anchor="s1_019">
              <w:r>
                <w:rPr>
                  <w:rStyle w:val="InternetLink"/>
                  <w:sz w:val="20"/>
                </w:rPr>
                <w:t>The Selling Stockholders</w:t>
              </w:r>
            </w:hyperlink>
            <w:r>
              <w:rPr>
                <w:sz w:val="20"/>
              </w:rPr>
              <w:t>” at page 81 for more information.</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Use of Proceeds:</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We will not receive any of the proceeds from the sale of the shares of our Common Stock being offered for sale by the Selling Stockholders. However, upon the exercise of the Warrants by payment of the exercise in cash, we will receive the exercise price of the Warrants. The terms of the Warrants are summarized in “</w:t>
            </w:r>
            <w:hyperlink w:anchor="s1_007">
              <w:r>
                <w:rPr>
                  <w:rStyle w:val="InternetLink"/>
                  <w:sz w:val="20"/>
                </w:rPr>
                <w:t>The Private Placements</w:t>
              </w:r>
            </w:hyperlink>
            <w:r>
              <w:rPr>
                <w:sz w:val="20"/>
              </w:rPr>
              <w:t>” at page 40.</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Quotation:</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Our Common Stock is currently quoted on the OTCQB under the symbol “ZPTA”.</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Shares of Common Stock outstanding before the Offering(1):</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There are 187,303,921 shares of Common Stock currently issued and outstanding.</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Shares of Common Stock to be outstanding after the Offering(1):</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sz w:val="20"/>
              </w:rPr>
            </w:pPr>
            <w:r>
              <w:rPr>
                <w:sz w:val="20"/>
              </w:rPr>
              <w:t>187,303,921 shares of Common Stock upon completion of the Offering.</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 xml:space="preserve">Plan of Distribution: </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The Selling Stockholders may sell all or a portion of the shares of Common Stock beneficially owned by them and offered hereby from time to time directly in several different ways. Registration of the Common Stock covered by this Prospectus does not mean, however, that such shares necessarily will be offered or sold. See “</w:t>
            </w:r>
            <w:hyperlink w:anchor="s1_009">
              <w:r>
                <w:rPr>
                  <w:rStyle w:val="InternetLink"/>
                  <w:sz w:val="20"/>
                </w:rPr>
                <w:t>Plan of Distribution</w:t>
              </w:r>
            </w:hyperlink>
            <w:r>
              <w:rPr>
                <w:sz w:val="20"/>
              </w:rPr>
              <w:t>.”</w:t>
            </w:r>
          </w:p>
        </w:tc>
      </w:tr>
      <w:tr>
        <w:trPr/>
        <w:tc>
          <w:tcPr>
            <w:tcW w:w="2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48" w:type="dxa"/>
            <w:tcBorders/>
            <w:shd w:fill="FFFFFF" w:val="clear"/>
            <w:vAlign w:val="center"/>
          </w:tcPr>
          <w:p>
            <w:pPr>
              <w:pStyle w:val="TableContents"/>
              <w:bidi w:val="0"/>
              <w:spacing w:before="0" w:after="283"/>
              <w:jc w:val="both"/>
              <w:rPr/>
            </w:pPr>
            <w:r>
              <w:rPr/>
              <w:t> </w:t>
            </w:r>
          </w:p>
        </w:tc>
      </w:tr>
      <w:tr>
        <w:trPr/>
        <w:tc>
          <w:tcPr>
            <w:tcW w:w="2197" w:type="dxa"/>
            <w:tcBorders/>
            <w:shd w:fill="CCEEFF" w:val="clear"/>
            <w:vAlign w:val="center"/>
          </w:tcPr>
          <w:p>
            <w:pPr>
              <w:pStyle w:val="TableContents"/>
              <w:bidi w:val="0"/>
              <w:spacing w:before="0" w:after="283"/>
              <w:jc w:val="left"/>
              <w:rPr>
                <w:b/>
                <w:sz w:val="20"/>
              </w:rPr>
            </w:pPr>
            <w:r>
              <w:rPr>
                <w:b/>
                <w:sz w:val="20"/>
              </w:rPr>
              <w:t>Risk Factors:</w:t>
            </w:r>
          </w:p>
        </w:tc>
        <w:tc>
          <w:tcPr>
            <w:tcW w:w="60" w:type="dxa"/>
            <w:tcBorders/>
            <w:shd w:fill="CCEEFF" w:val="clear"/>
            <w:vAlign w:val="center"/>
          </w:tcPr>
          <w:p>
            <w:pPr>
              <w:pStyle w:val="TableContents"/>
              <w:bidi w:val="0"/>
              <w:spacing w:before="0" w:after="283"/>
              <w:jc w:val="left"/>
              <w:rPr/>
            </w:pPr>
            <w:r>
              <w:rPr/>
              <w:t> </w:t>
            </w:r>
          </w:p>
        </w:tc>
        <w:tc>
          <w:tcPr>
            <w:tcW w:w="7948" w:type="dxa"/>
            <w:tcBorders/>
            <w:shd w:fill="CCEEFF" w:val="clear"/>
            <w:vAlign w:val="center"/>
          </w:tcPr>
          <w:p>
            <w:pPr>
              <w:pStyle w:val="TableContents"/>
              <w:bidi w:val="0"/>
              <w:spacing w:before="0" w:after="283"/>
              <w:jc w:val="both"/>
              <w:rPr/>
            </w:pPr>
            <w:r>
              <w:rPr>
                <w:sz w:val="20"/>
              </w:rPr>
              <w:t>Any investment in the securities offered hereby is speculative and involves a high degree of risk. You should carefully consider the information set forth under “</w:t>
            </w:r>
            <w:hyperlink w:anchor="s1_006">
              <w:r>
                <w:rPr>
                  <w:rStyle w:val="InternetLink"/>
                  <w:sz w:val="20"/>
                </w:rPr>
                <w:t>Risk Factors</w:t>
              </w:r>
            </w:hyperlink>
            <w:r>
              <w:rPr>
                <w:sz w:val="20"/>
              </w:rPr>
              <w:t>” beginning at page 8 and elsewhere in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(1)</w:t>
            </w:r>
          </w:p>
        </w:tc>
        <w:tc>
          <w:tcPr>
            <w:tcW w:w="9970" w:type="dxa"/>
            <w:tcBorders/>
            <w:vAlign w:val="center"/>
          </w:tcPr>
          <w:p>
            <w:pPr>
              <w:pStyle w:val="TableContents"/>
              <w:bidi w:val="0"/>
              <w:spacing w:before="0" w:after="283"/>
              <w:jc w:val="both"/>
              <w:rPr>
                <w:sz w:val="20"/>
              </w:rPr>
            </w:pPr>
            <w:r>
              <w:rPr>
                <w:sz w:val="20"/>
              </w:rPr>
              <w:t>The number of shares of Common Stock shown above to be outstanding after this Offering is based on 187,303,921 shares of our Common Stock outstanding as of July 8, 2026. Such amounts exclude: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40,857,265 shares underlying outstanding options having a weighted-average exercise price of $0.11 per share;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85,063,587 shares underlying outstanding warrants having a weighted-average exercise price of $3.50 per share;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75,000,000 shares underlying outstanding convertible promissory notes;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155,987 shares underlying outstanding Senior Secured Notes, including accrued interest;</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25,000 shares underlying unvested restricted stock units;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1,129,630 unvested shares;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 xml:space="preserve">11,983,000 shares underlying outstanding Series C convertible preferred stock;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34,160,784 shares underlying outstanding Series D convertible preferred stock;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314,416 shares of Common Stock which the Company may pay to holders of Series D as dividends at a rate of 8% per annum.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that you should consider before investing in our Common Stock. Some of the principal risk factors that make an investment in the Company speculative or risky are summarized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Status as an Early Stage Company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will need additional capital to continue as a going concern.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have a history of operating losses, which are expected to continue in the future.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are an early stage company with a limited operating history in a nascent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may not be able to scale our business quickly enough to meet demand.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assets are pledged to the holders of the Secured Notes and we face risks related to the potential failure to repay obligations or any other default events.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have identified material weaknesses in our internal control over financial reporting, and may fail to maintain an effective system of disclosure controls and internal control over financial reporting.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ability to use existing or future net operating loss carryforwards and other tax attributes may be limited.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current state of the quantum computing industry is still new and rapidly evolving, so there is no guarantee that it will succeed.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plan could suffer if we are not able to establish and grow contractual relationships with third parties or enter into certain important strategic partnerships.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plan could suffer if we are not able to enter into important strategic partnerships.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we cannot manage our growth effectively, we may not become profitable.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are highly dependent on our key employees.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failure to attract and retain additional qualified personnel or to maintain our company culture could harm our business and prevent us from executing our business strategy.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is dependent on growing and retaining qualified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estimate of market opportunities may prove to be inaccurate.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quantum computing application development solutions may not be widely accepted.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If the market for our quantum computing application development solutions fails to develop or grow as we expect, our business could be adversely affected.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business plan relies upon the adoption of our quantum computing application development solutions by enterprise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could fail to respond to rapid technological changes.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Would be negatively impacted by delays in development of our software platform.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Sales to government entities and highly regulated organizations are subject to a number of challenges and risks.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success could be materially affected by problems with or defects in the Orquestra platform or our other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pursuit of inorganic growth opportunities could result in harm to our business.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Competition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2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Competitors may develop products and technologies that are superior to ours.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The quantum computing industry is highly competitive, and we may not be successful.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Our business plan depends on access to public clouds through major cloud providers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35" w:type="dxa"/>
            <w:tcBorders/>
            <w:vAlign w:val="center"/>
          </w:tcPr>
          <w:p>
            <w:pPr>
              <w:pStyle w:val="TableContents"/>
              <w:bidi w:val="0"/>
              <w:spacing w:before="0" w:after="283"/>
              <w:jc w:val="both"/>
              <w:rPr/>
            </w:pPr>
            <w:r>
              <w:rPr/>
              <w:t>Our business plan depends on access to specialized hardware which we may struggle to access.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patent applications may not result in issued patents or our patent rights may be contested, circumvented, invalidated or limited in scope.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There is no guarantee that our IP will provide the desired competitive advantage.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may face patent infringement and other intellectual property claims.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use of third-party open source software could negatively affect our sales efforts.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Use of open source software may result in fewer technology barriers to entry.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 and Litigation</w:t>
      </w:r>
    </w:p>
    <w:p>
      <w:pPr>
        <w:pStyle w:val="TextBody"/>
        <w:shd w:fill="FFFFFF" w:val="clear"/>
        <w:bidi w:val="0"/>
        <w:spacing w:before="0" w:after="0"/>
        <w:ind w:left="144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2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may fail to comply with laws related to privacy, data security, and data protection.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are potentially subject to governmental export and import control 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are subject to U.S. and foreign anti-corruption, anti-bribery, and similar 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50" w:type="dxa"/>
            <w:tcBorders/>
            <w:vAlign w:val="center"/>
          </w:tcPr>
          <w:p>
            <w:pPr>
              <w:pStyle w:val="TableContents"/>
              <w:bidi w:val="0"/>
              <w:spacing w:before="0" w:after="283"/>
              <w:jc w:val="both"/>
              <w:rPr/>
            </w:pPr>
            <w:r>
              <w:rPr/>
              <w:t>We are exposed to risks associated with litigation and regulatory proceedings.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Outside Our Specific Business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2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95" w:type="dxa"/>
            <w:tcBorders/>
            <w:vAlign w:val="center"/>
          </w:tcPr>
          <w:p>
            <w:pPr>
              <w:pStyle w:val="TableContents"/>
              <w:bidi w:val="0"/>
              <w:spacing w:before="0" w:after="283"/>
              <w:jc w:val="both"/>
              <w:rPr/>
            </w:pPr>
            <w:r>
              <w:rPr/>
              <w:t>Our business relies on computer systems which are vulnerable to attack and/or failure.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195" w:type="dxa"/>
            <w:tcBorders/>
            <w:vAlign w:val="center"/>
          </w:tcPr>
          <w:p>
            <w:pPr>
              <w:pStyle w:val="TableContents"/>
              <w:bidi w:val="0"/>
              <w:spacing w:before="0" w:after="283"/>
              <w:jc w:val="both"/>
              <w:rPr/>
            </w:pPr>
            <w:r>
              <w:rPr/>
              <w:t>Widespread damage to the global economy would likely adversely affect our business.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ownership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Shares of Common Stock underlying outstanding securities will cause holders to experience substantial future dilution and downward price pressure.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market price of our shares of Common Stock is subject to volatility.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There is currently a limited trading market for the Company’s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Common Stock is a “penny stock” and thereby is subject to additional restrictions.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As a former shell company, we face certain disadvantages relative to other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may be unable to successfully uplist to a national securities exchange within a reasonable period of time or at 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will incur significant increased costs as a result of being a public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Due to our size, we have a limited management team.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do not currently intend to pay cash dividends on our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Certain provisions in our Certificate of Incorporation and Bylaws and Delaware law may adversely affect us and/or certain investors.</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1" w:name="s1_006"/>
      <w:bookmarkEnd w:id="21"/>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Investors should carefully consider the following Risk Factors before deciding whether to invest in the Company. Additional risks and uncertainties not presently known to us, or that we currently deem immaterial, may also impair our business operations or our financial condition. If any of the events discussed in the Risk Factors below occur, our business, consolidated financial condition, results of operations or prospects could be materially and adversely affected. In such case, the value and marketability of our securities could decline.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Zapata’s Financial Condition and Status as an Early-Stage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to continue as a going concern, implement our business plan or respond to business opportunities or unforeseen circumstances and such financing may not be available.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with proceeds from sales of Convertible Preferred Stock and Common Stock and the issuance of Convertible Notes. For the three months ended March 31, 2026, we recorded a net loss of $1.3 million, used cash in operations of $1.0 million and had a stockholders’ deficit of $9.4 million as of that date. As of March 31, 2026, we had a cash balance of $642 thousand. Cash used in operations was primarily from the Company’s operating losses, working capital, and investment in strategic growth initiatives. We have incurred significant losses and negative cash flows from operations since inception and expect to continue to incur losses and negative cash flows for the foreseeable future as we expand our penetration of the quantum computing application development market.</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We intend to use the net proceeds for working capital and general corporate purposes. We also issued 683,215 Financing Activity Warrants to the placement agents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expect our existing cash will be sufficient to fund our current operating plan for at least twelve months from the date of issuance of our most recent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continuation as a going concern is dependent upon our ability to effect or continue to identify future debt or equity financing and generate profitable operations from our operations. There can be no assurance that such capital will be available in sufficient amounts or on terms acceptable to us. Further, the Company has not generated any revenue since September 2024 and does not expect to generate any revenue unless and until it can scale operations which will be dependent on our ability to raise sufficient capital. These factors raise substantial doubt about our ability to continue as a going concern.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also contemplates a substantial scaling of Zapata across all departments, including science, software engineering, and product design, in order to launch multiple products and/or offerings in a timely manner to obtain and preserve a competitive advantage. This scaling will require substantial capital at a time when we project we will be operating at a loss and in which we have limited capital and other resources with which to execute our business plan, and this process may take longer than we anticipate. Consequently, our expansion is limited in proportion to our growth in revenue and available capital, as well as by our limited personnel and infrastructure. The capital required to sustain our business during this period may be greater than anticipated. In addition, presently unforeseen opportunities or circumstances may require capital beyond what we currently project. The period during which we expect to operate at a loss may be extended by circumstances beyond our control.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obtain additional financing through public or private equity or debt financings (subject to the limitations under our outstanding agreements and debt instruments) that may result in dilution to stockholders, the issuance of securities with priority as to liquidation and/or dividend and other rights more favorable than the Common Stock, or the imposition of debt covenants and repayment obligations or other restrictions that may adversely affect our business. For example, as of March 31, 2026, we have outstanding an aggregate principal amount of $4.0 million in secured promissory notes (collectively, the “Secured Notes”). Included in the Secured Notes is a senior secured promissory note (in the aggregate principal amount of $1.0 million the “Senior Secured Note”). This Senior Secured Note, among other things, converts at the option of the holder at $8.50 per share of Common Stock and prohibits Legacy Zapata from issuing additional indebtedness and undertaking certain other actions, subject to limited exceptions, which may prevent or limit us from raising further capital or engaging in strategic transactions in the future. The Senior Secured Note matures on December 31, 2026.</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other Secured Notes (the “2025 Notes”) have a total outstanding principal amount of $3 million, mature on June 12, 2026 (subject to acceleration upon the occurrence of certain customary events of default or a change of control), and bear 10% per annum interest. These 2025 Notes are convertible into shares of Common Stock at the option of the holder based on a conversion price of $0.04 per share, subject to certain adjustments. The Company also issued warrants to purchase a total of 37,500,000 shares of Common Stock to the investors of the 2025 Notes. The maturity date of the 2025 Notes was extended to June 12, 2027.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future financing will be at financial terms equal to or more favorable than those described above or that our existing indebtedness will not limit or prevent us from raising capital in the future, and we may need to enter into future equity or, if available, debt financing at significantly less favorable terms. Our failure to raise capital as and when needed would have a materially negative impact on our financial condition and our ability to pursue our business strategy.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which are expected to continue for the foreseeable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We incurred operating losses of $3.4 million and $23.0 million during the years ended December 31, 2025 and 2024, respectively, and we have a cumulative deficit since the formation of Legacy Zapata in November 2017 through March 31, 2026 of approximately $9.4 million. Since 2025, we have continued to incur net losses. We believe that we will continue to incur operating and net losses each quarter at least for the foreseeable future. The size of future losses will depend on several factors, including the degree to which we seek to establish and expand our scientific, product, software engineering, sales and other teams, and the revenue that we can generate from sales of our quantum computing application development solutions. Our operating expenses have increased as a result of becoming a public company and we expect that our expenses will continue to increase as we grow our business, including hiring and re-hiring personnel as we seek to re-establish revenue-generating operations as part of our ongoing restructuring efforts in which began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 stage company with a limited operating history, in a nascent industry, making it difficult to forecast future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2017 to develop and provide software with related services and proprietary IP to utilize quantum math on classical and future quantum hardware. On October 7, 2024, due to financial difficulties we temporarily suspended our operations. In June 2025, following restructuring efforts and conversion of certain outstanding indebtedness into equity, we shifted our business focus from artificial intelligence (AI) to quantum computing software and solutions. Our ability to re-establish revenue-generating operations and generate revenue will be dependent upon our ability to access sufficient capital for such purpose. The market focus for our quantum computing application development solutions and the use of quantum math and algorithms are nascent fields with uncertainty on future market uptake and in technological progress in the field.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were suspended beginning on October 8, 2024. The Company did not timely file the following periodic reports but subsequently filed all outstanding reports on December 9,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2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September 30,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Annual Report on Form 10-K for the year ended December 31,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March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June 30,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55" w:type="dxa"/>
            <w:tcBorders/>
            <w:vAlign w:val="center"/>
          </w:tcPr>
          <w:p>
            <w:pPr>
              <w:pStyle w:val="TableContents"/>
              <w:bidi w:val="0"/>
              <w:spacing w:before="0" w:after="283"/>
              <w:jc w:val="both"/>
              <w:rPr/>
            </w:pPr>
            <w:r>
              <w:rPr/>
              <w:t>Quarterly Report on Form 10-Q for the quarter ended September 30, 2025</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can or will meet the challenges commonly faced by early stage companies, including the need to scale operations and to achieve and manage rapid growth. A number of factors could cause our efforts to be adversely impacted, including any inability to raise the necessary capital needed to establish revenue-generating operations and pursue our business objectives, increased competition, lesser-than-expected growth or contraction of our overall market, our inability to accurately forecast demand for our customer offerings, our inability to establish sales or other partnerships with service firms, an inability to develop repeatable solutions, an inability to grow our team, or our failure, for any reason, to capitalize on growth opportunities. We have encountered and will encounter risks and uncertainties frequently experienced by early stage companies in rapidly changing industries, such as the risks and uncertainties described herein. We cannot provide assurance that we can meet the challenges faced by all companies, including established companies, in rapidly changing or nascent industries. The failure to address these challenges successfully or promptly could have a material adverse effect on our future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scale our business and quantum computing application development solutions quickly enough to meet customer and market demand and to remain competitive in the market for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establish and grow our business, we will need to re-establish and scale operations in every area from our existing start-up capacity. These challenges will require that we: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scale our product design team to design and continually re-design our quantum computing application development solutions in order to maintain a competitive position in the market, including increasing the number of employees following our previous reductions in force;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increase the size of our software engineering team to produce in a competitively timely manner stable quantum computing application development solutions based on the chosen design elements;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increase the size of our services team to provide ongoing services in connection with our quantum computing application development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customer-support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scientific research and development in order to generate IP required or helpful to our business, including IP to develop our quantum computing application development solutions, to provide freedom to operate for our quantum computing application development solutions, and to create barriers to competition, on an accelerated time frame in order to minimize the risk that third-parties might first create potentially blocking IP;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increase our sales and marketing teams and efforts;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 and expand relationships with large service firms to leverage sales of our quantum computing application development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 and expand our operational, financial and legal systems and teams to accommodate increases in customer and partner relationships and additional legal requirements we will face as a result of international data privacy regulations, securities compliance and reporting obligations;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establish, maintain and scale effective financial disclosure controls and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executive and administrative teams in all areas including finance, accounting, operations, human resources, and legal, in order to effectively manage our growth;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expand our access to computing hardware and specifically Graphics Processing Unit chips (“GPUS”), which have faced supply limitations.</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successfully overcome these challenges and manage the organizational growth required to do so, then our business, including our ability to establish and maintain a competitive place in the market, financial condition, and profitability, may be materially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assets are pledged to the holders of the Secured Notes and failure to repay obligations to these noteholders when due, or any other default events, will have a material adverse effect on our business and could result in foreclosure on these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Secured Notes, the Company entered into Security Agreements and an Intercreditor Agreement with Acquiom Agency Services LLC as collateral agent on behalf of the noteholders (collectively, the “Security Agreement”). The Security Agreement creates a security interest in all of the property of Zapata and its subsidiaries, subject to certain exceptions specified in the Security Agreement (the “Collateral”). Pursuant to the Security Agreement, each of Zapata Computing, Inc. and Zapata Government Services, Inc. has agreed to guarantee the obligations of the Company under the Security Agreement and the Secured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Security Agreement, the collateral agent will have certain rights under the Security Agreement, including the right to take control of the Collateral and, in certain circumstances, sell the Collateral to cover obligations owed to the holders of the Secured Notes pursuant to its terms. “Event of Default” under the Security Agreement means (i) any default of the terms, conditions or covenants of the Security Agreement (after giving effect to any applicable grace or cure period) and any event of default under the Secured Notes, which includes any failure to pay any principal or interest payment on the due date or any other payments required under the terms of the Secured Notes, a breach of any other covenant under the Secured Notes, and entering into any voluntary or involuntary bankruptcy or insolvency proceedings. Any such default would have a material adverse effect on Legacy Zapata’s and, by extension, our, business and our stockholders could lose their entire investment in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Sarbanes-Oxley Act, including regular attestations by management concerning its internal control over financial reporting. Management may not be able to effectively and timely implement controls and procedures that adequately respond to these increased regulatory compliance and reporting requirements. If we are not able to implement the additional requirements of Section 404 of the Sarbanes-Oxley Act (“Section 404”) in a timely manner or with adequate compliance, we may not be able to assess whether our internal control over financial reporting is effective and may fail to provide timely and accurate financial information to investors. This may subject us to adverse regulatory consequences and could harm investor confidence. We expect that the requirements of these rules and regulations will continue to increase our legal, accounting, and financial compliance costs, make some activities more difficult, time-consuming, and costly, and place significant strain on our personnel, systems, and resources. We will need to hire additional accounting and financial personnel in order to achieve these goals.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internal control over financial reporting. The controls required are not currently in place; however, we are working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working to design and maintain our internal control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controls and any new controls that we develop may be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the effectiveness of internal control over financial reporting, and/or our ability to produce timely and accurate financial reports. Moreover, our business may be harmed if we experience problems with any new systems and controls, resulting in delayed implementation or increased costs to correct any issues.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addition to the material weaknesses described in the Risk Factor which follows and elsewhere in this Prospectus,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That failure could result in a restatement of our financial statements for prior periods. 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Those reports will eventually be included in our periodic reports filed with the SEC. Ineffective disclosure controls or internal control over financial reporting could also cause investors to lose confidence in our reported financial and other information, which would likely have a negative effect on the trading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maintain effective disclosure controls and internal control over financial reporting could harm our business and could cause a decline in the trading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weaknesses, identify additional material weaknesses in the future, or otherwise fail to maintain an effective system of internal control over financial reporting, this may result in misstatements in our financial statements, cause us to fail to meet periodic reporting obligations, or cause our access to capital markets to be impaired.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as of and for the year ended December 31, 2025, material weaknesses have been identified in the Company’s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we identified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 does not have sufficient segregation of duties within accounting functions, as its Chief Executive Officer is the sole officer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 does not have sufficient or complete written documentation of our internal controls policies and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substantial portion of the Company’s financial reporting is carried out by an outside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Company’s human resources, processes and systems are not sufficient to enable the production of timely and accurate financial statements in accordance with US GAAP.</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could result in a misstatement of account balances or disclosures that would result in a material misstatement to our combined annual or interim financial statements that would not be prevented or detected.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remediate the material weaknesses, we have retained an accounting consulting firm to provide additional depth and breadth to our technical accounting and financial reporting capabilities. We intend to engage internal control consultants to assist us in performing a risk assessment to identify relevant risks and specify needed objectives. With their assistance, we intend to formalize and communicate our policies and procedures surrounding our financial close, financial reporting and other accounting processes, and to further develop and document necessary policies and procedures regarding our internal control over financial reporting, such that we are able to perform a Section 404 analysis of our internal control over financial reporting when and as required. We cannot assure that these measures will significantly improve or remediate the material weaknesses described above. We also cannot assure that we have identified all or that we will not have additional material weaknesses in the future. Accordingly, a material weakness may still exist when we report on the effectiveness of our internal control over financial reporting for purposes of our management’s required attestation. Further, while we remain an emerging growth company, we will not be required to include an attestation report on internal control over financial reporting issued by our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expect to incur additional costs to remediate these control deficiencies, though there can be no assurance that our efforts will be successful or that we will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the SEC or other regulatory authorities.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existing or future net operating loss carryforwards and other tax attributes may be limited.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operating losses (“NOLs”) for tax purposes for each year since our incorporation and we expect to continue to operate at a loss for the foreseeable future. As of December 31, 2025 we had a cumulative U.S. federal carryforward of approximately $71.1 million and a cumulative state NOL carryforward of approximately $41.0 million. If not utilized, the state NOLs will expire at various dates through 2044. The U.S. federal NOLs generated after 2017 can be carried forward indefinitely. Under the Code, the deductibility of the U.S. federal NOL carryforward as of December 31, 2025 and all future U.S. federal NOL carryforwards is limited to 80% of taxable income, limiting or delaying in part the use of NOL carryforwards if and when we cease operating at a loss. We may potentially use these U.S. federal and state NOLs to offset taxable income for U.S. federal and state income tax purposes. However, the use of these NOLs may be subject to numerous limitations under the Code and under state tax laws. Among such limitations, Section 382 of the Code may limit the use of these NOLs in any year for U.S. federal income tax purposes in the event of certain past or future changes in ownership of us or Legacy Zapata. An ownership change under Section 382 of the Code, referred to in this discussion as an ownership change, generally occurs if one or more stockholders or groups of stockholders who own at least 5% of a company’s stock increase their ownership by more than 50 percentage points over their lowest ownership percentage within a rolling three-year period. We have not conducted a Section 382 study to determine whether the use of our NOLs is impaired under Section 382 of the Code as a result of any prior ownership change. We may have previously undergone one or more ownership changes. An ownership change in respect of us also could be deemed to be an ownership change in respect of Legacy Zapata. The Merger, or future issuances or sales of our securities, including certain transactions involving our securities that are outside of our control, could result in ownership changes. Ownership changes that have occurred in the past or that may occur in the future could result in the imposition of an annual limit under Section 382 of the Code on the amount of pre ownership change NOLs and other tax attributes that we or Legacy Zapata could use to reduce our taxable income, potentially increasing or accelerating its liability for income taxes, and also potentially causing those tax attributes to expire unused.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States may impose similar limitations on the use of applicable NOLs. We have recorded a valuation allowance related to NOL carryforwards and other deferred tax assets due to the uncertainty of the ultimate realization of the future benefits of those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on using NOLs, whether under Section 382 of the Code or otherwise under U.S. federal or state tax laws, could, depending on the extent of such limitation and the NOLs previously used, result in Legacy Zapata or us retaining less cash after payment of U.S. federal and state income taxes in respect of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quantum computing solutions in general and our quantum computing application development solutions in particular to satisfy customer demands or to achieve increased market acceptance would adversely affect our business, results of operations, financial condition, and growth prospects, and the current state of the quantum computing industry is still new and rapidly evolving, so there is no guarantee that it will succeed.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derive substantially all of our revenue from our quantum computing application development software and related services if our marketing initiatives are successful. Accordingly, the market acceptance of quantum computing in general - and our quantum computing solutions in particular - is critical to our continued success.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quantum computing is still in its early stages and is rapidly evolving. Adoption depends on customer awareness of the potential benefits of quantum computing over classical methods, the continued progress of underlying hardware, and the availability of practical quantum algorithms and workflows. There is no assurance that quantum computing will achieve large scale commercial viability or that customers will adopt our products at the rate or in the manner we anticipate.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demand for our solutions is affected by factors largely beyond our control, including the pace of hardware advancement, competitive product introductions, data-security and regulatory considerations, and general macroeconomic conditions. Further, the use of quantum technology is not widespread and is generally limited to certain specific types of organizations and activities, and our prospective customer base will therefore be limited. We expect the needs of our customers to continue to evolve and grow in complexity as the industry progresses toward fault-tolerant quantum computing. To remain competitive, we must continually enhance the functionality, performance, and usability of our software and services to meet these changing demands.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fails to achieve broad acceptance of quantum computing or our application development solutions do not meet with sufficient customer demand, or if we fail to keep pace with rapid technological change, our business, operating results, and growth prospects could be materially and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significant progress has been made in advancing quantum hardware, the commercial utility of quantum computing remains largely unproven. As the technology is applied to new domains such as chemistry, materials science, optimization, cryptography, and machine learning, it is possible that performance gains may be more limited than current forecasts suggest. Techniques we or others develop could quickly become obsolete as new methods or architectures emerge. Because many of our competitors are larger companies with greater resources, they may be able to incorporate new techniques or access next-generation hardware more rapidly than we can.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also be no assurance that our analysis of the eventual market need for quantum computing is correct. If our assessment proves inaccurate, the future value of our products and services, our competitive position, and our profitability could be materially lower than we currently anticipate.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could suffer if we are not able to establish and grow contractual relationships with third parties or enter into certain important strategic partnerships, and if we are unable to ensure that our quantum computing application development solutions interoperate with computing hardware or software that are developed by others, we may become less competitive and our resulting operations may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quantum computing application development company, solutions must provide customers with the ability to use products of third parties, such as quantum processors and classical computing resources, which we do not manufacture. The cost or availability of these dependencies could be adversely affected by a variety of factors, including the transition to a clean energy economy, local and regional environmental regulations, and geopolitical disruptions. Our quantum computing application development solutions must integrate with a variety of hardware and software platforms, and we need to continuously modify and enhance our quantum and classical software libraries to adapt to changes in hardware and software technologies. In particular, we have developed our quantum development frameworks to be able to easily integrate with key third-party applications, including the applications of software providers that compete with us as well as our partners. In general, we are and will be subject to standard terms and conditions of such providers and open source licenses, which govern the distribution, operation, and fees of such software systems, and which are subject to change by such providers from time to time. Our business will be harmed if any provider of such software systems: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discontinues or limits our access to its software;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modifies its terms of service or other policies, including fees charged to, or other restrictions on us, or other platform and application developers;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or modifies its open source license;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how information is accessed by us or our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establishes more favorable relationships with one or more of our competitors;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develops or otherwise favors its own competitive offerings over AI software libraries.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services and products are constantly evolving, and we may not be able to modify our quantum computing application development solutions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quantum development frameworks with their products or services, or exert strong business influence on our ability to and terms on which we operate our quantum computing application development solutions. Should any of our competitors modify their products or standards in a manner that degrades the functionality of our quantum development frameworks or gives preferential treatment to our competitors or competitive products, whether to enhance their competitive position or for any other reason, the interoperability of our quantum computing application development solutions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could suffer if we are not able to enter into important strategic partnerships.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plans, we expect to expand, sell to, with, and through partners, including developing repeatable solutions built with services firms, and developing partnerships with hardware providers, system integrators and consulting services firms. However, our relationships with these partners may not result in additional business. If we are unable to enter into beneficial and contractual strategic partnerships, or are unable to do so on favorable terms, then our growth could be limited or delayed.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restructuring and financings completed in 2025 and 2026, the Company has resumed active operations. The Company has rehired key personnel across research and development, product, strategy and operations, and commercial functions, including its Chief Technology Officer, Vice President of Strategy and Operations, Vice President of Product, and Senior Director of Partnerships and Go-to-Market. As disclosed in Financial Note 1 to the Financial Statements, management expects the Company's existing cash to be sufficient to fund its current operating plan for at least twelve months from the issuance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over the next twelve months, the Company intends to continue development of its Quantum Graph and Quantum Pilot products and research and development efforts with commercial and academic collaborators, including work under its recently announced collaboration with NVIDIA. We also plan to pursue commercial engagements with prospective enterprise customers and strategic partners for the Company's software offerings and government funding opportunities and research grants; while evaluating additional financing opportunities to support the Company's long-term growth strategy as appropriate.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manage our growth effectively, we may not become profitable.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Businesses, including development stage companies such as ours which often grow rapidly, tend to have difficulty managing their growth. If we are able to successfully market our products and services, we will likely need to expand our management team and other key personnel by recruiting and employing experienced executives and key employees and/or consultants capable of providing the necessary support.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Prospectus, we are in the process of developing and/or pursuing business plans for relatively novel technology in an industry that remains in its infant stages, and which involves a unique business model and would take substantial time and resources to execute and develop into a revenue generating enterprise. We cannot assure you that our management will be able to manage our growth effectively or successfully. Our failure to meet these challenges could cause us to lose money, and your investment could be lost.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will be highly dependent on our key employees and personnel.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our goals will depend heavily on our Chief Executive Officer and key employees. In late 2024 and early 2025, most of our key personnel left the Company due to our financial difficulties and suspension of operations. We have since re-hired multiple such individuals, and will need to re-hire and/or find suitable replacement or supplemental personnel in order to scale operations and execute on our business plan. The procurement and retention of these key employees and consultants, together with additional key hires, is critical to the long-term success of the Company. All of our personnel are “at will” employees who could leave the Company to accept alternative employment at any time. The more success we achieve serves to increase the risk that competitors, including large, well-established companies with far greater resources, will seek to hire our employees, including key employees. The loss of any key employee, especially to a competitor, could have a material adverse effect on our business, including by delaying the roll-out of products or diminishing the quantity or quality of our scientific output. Further, our industry and operations are highly specialized, and the loss of key personnel would therefore impose substantial challenges on us, and we may be unable to locate and hire suitable replacements on favorable terms or at all, and could lose competitive advantages, market share, and the ability to operate as planned as a result of the loss of certain key personnel.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also highly dependent on locating and hiring highly qualified key employees, both to replace any losses of key employees, including following our previous reductions in force, as well as to supplement our current employees. If we are unable to grant sufficient or competitive compensation, including equity awards and bonuses, we may be unable to attract new or retain key employees.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attract and retain additional qualified personnel or to maintain our company culture could harm our business and prevent us from executing our business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quantum computing, computer science, mathematics, and enterprise software, as well as sales and operations professionals, which are specialized fields with limited pools of qualified candidates with the knowledge, education, training and experience needed to fill various roles that will be critical to our operations. As disclosed above, we will need to hire additional personnel to execute our business plan. At times, we have experienced, and we may continue to experience, difficulty in hiring personnel who meet the demands of our selection process and with appropriate qualifications, experience, or expertise, and we may not be able to fill positions as quickly as desired, particularly in light of our previous reductions in workforce. Potential candidates may not perceive our compensation package, including our equity awards, or our future prospects as favorably as employees hired in the past which may render recruiting and retaining qualified individuals more difficult. In addition, our recruiting personnel, methodology, and approach may need to be altered to address a changing candidate pool and profile. We may not be able to identify or implement such changes in a timely manner.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Our ability to offer attractive compensation packages to our current and prospective employees is limited by our limited capital resources and our reliance on equity compensation which may be viewed as less attractive based on the prices and lack of liquidity of our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with greater resources than we have in the past recruited or attempted to recruit our employees. If we cannot retain these employees, it may adversely affect our ability to deliver on our quantum computing application development solutions. Furthermore, third-party offers to our employees of greater compensation have in the past forced and may in the future force us to offer significant additional compensation, which may adversely impact our financial performance, and we are limited in issuing equity by the number of shares reserved for issuance under our equity plans. Additionally, continued high inflation, without regard to competition, may require us to increase compensation and failure to do so might impact our employee retention. Such increases would also adversely impact our financial performance.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critical component to our success and our ability to retain our best people is our culture. As we continue to grow and develop a public company infrastructure, we may find it difficult to maintain our company culture. If we fail to attract new personnel or to retain our current personnel, our business would be harmed.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growing and retaining competitive teams of sufficient size in the areas of algorithm development, product development, and software engineering; the failure to achieve any one of these objectives could materially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business model is to develop and sell software capable of delivering quantum computing application development solutions to enterprise customers at scale and services in connection with such software. This requires a science team to develop algorithms, capable of addressing valuable problems using quantum techniques and other mathematics. It also requires a product development team that can describe software that not only is able to use the quantum techniques developed by its team, but also is able to handle enterprise production issues at scale. We also require a software engineering team that can implement the product design through products that comply with the myriad legal and enterprise information technology requirements and are robust enough to function in an enterprise production environment. Finally, these teams must have the capacity to complete their respective tasks in time to be of value to the market.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hire the personnel required to execute our business plan depends, in part, on the availability of qualified applicants, something which is beyond our control. Quantum information processing is a relatively new field. Although the pool of qualified quantum scientists and software engineers is growing, it is limited and competition for that talent is global and aggressive, pitting us against large, well-established companies with larger financial resources than we have, as well as programs sponsored by foreign countries. In addition, limitations in or changes to immigration and work permit laws and regulations or the administration or interpretation of those laws could impair our ability to attract and retain highly qualified employees.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be able to hire and retain an adequate number of quantum scientists, product design specialists, and/or software engineers with the qualifications required to execute our business plan. Our failure to build and maintain any one or more of these requisite teams could have a material adverse effect on our future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 of market opportunities may prove to be inaccurate.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there is no mature market for quantum computing solutions. This creates significant uncertainty in determining the potential market for our quantum computing application development solutions. For example, estimates on the current and potential total addressable market for quantum computing as an industry are based on third-party estimates and our own internal judgment, both of which may be materially inaccurate. There can be no assurance that our or third-party estimates of the potential total addressable market for quantum computing are correct, and such numbers do not account for the substantially more limited service obtainable market for our quantum computing application development solutions. Additionally, our market opportunities, future prospects, and future profitability will be materially lessened by delays in widespread enterprise adoption of quantum computing, if enterprises adopt quantum computing at all, which would reduce the relevant total addressable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Our business depends on our ability to attract customers and on such future customers purchasing additional subscriptions from us and/or renewing their existing subscriptions.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goal is to attract customers and create revenue. As an early stage company, we have limited experience with sales and, in particular, sales to our target large enterprise customers. Our success will depend to a substantial extent on the level of adoption of our quantum computing application development solutions. Quantum computing is a new and evolving industry, so the level of adoption is uncertain. Numerous factors may impede our ability to add customers, including but not limited to, our failure to compete effectively against alternative products or services, to attract and effectively train new sales and marketing personnel, to develop relationships with partners, to successfully innovate and deploy new applications and other solutions, to provide a quality customer experience and customer services, including increasing our employee headcount to provide for additional service providers, or to ensure the effectiveness of our marketing programs. If we are not able to attract customers, it will have a material adverse effect on our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quantum computing application development solutions, as well as applications, features, and functionality that we may introduce in the future or that we offer but have not yet sold, may not be widely accepted by our customers or may receive negative attention, each of which may lower our margins and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customers and generate revenue will depend on our ability to successfully market our existing quantum computing application development solutions, as well as create new applications, features, and functionality. We may introduce significant changes to our existing quantum computing application development solutions or develop and introduce new applications, including technologies with which we have little or no prior development or operating experience. These new applications and updates, as well as our existing solutions that we have marketed but not yet sold,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quantum computing application development solutions, or the introduction of new applications or initial sales of our applications to enterprise customers, is particularly difficult to predict. If new or enhanced applications are not widely accepted by customers, we may fail to generate sufficient revenue, operating margins, or other value to justify our investments in such applications, any of which may harm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for our quantum computing application development solutions fails to develop or grow as we expect, or if businesses fail to adopt our quantum computing application development solutions, our business, operating results, and financial condition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customer adoption rates and demand for our quantum computing application development solutions, the entry of competitive software, platforms and services. We cannot be sure that the quantum computing market will continue to grow or, even if it does grow, that businesses will adopt our quantum computing application development solutions. Our future success will depend in large part on our ability to create a market for quantum computing application development solutions. Our ability to create such a market depends on a number of factors, including the cost, performance, and perceived value associated with our quantum computing application development solutions. Potential customers may have made significant investments in classical computing systems and may be unwilling to invest in new platforms and applications, and may prefer to work with larger, more established companies that have entered the broader quantum computing market. If the quantum computing market fails to develop or grows more slowly than we currently expect, our business, operating results, and financial condition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relies upon the adoption of our quantum computing application development solutions by enterprise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targeted customers are large enterprises with intractable problems that require addressing at scale. The success of our business plan, therefore, materially depends upon our ability to sell our quantum computing application development solutions to such large enterprise customers. Sales to such customers involve risks that are different from or greater than risks involved in selling to smaller customers. Such risks include difficulties associated with longer sales, product, evaluation, and implementation cycles; higher customer-tailored requests and greater bargaining power on the part of the customer; and more intense competition from vendors who have been providing other software and services for years to the customer and are embedded in the customer’s IT infrastructure. If we are not able to overcome these risks and successfully establish a meaningful share of the enterprise market, then our business prospects and future profitability could suffer.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cycles are expected to be long and unpredictable, and our sales efforts will require considerable time and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may fluctuate, in part, because of the complexity of customer problems that our quantum computing application development solutions address, the resource-intensive nature of our sales efforts, the length and variability of the sales cycle for our offerings, and the difficulty in making short-term adjustments to our operating expenses. The timing of our sales is difficult to predict. The length of our sales cycle, from initial evaluation to payment for our subscriptions and related services can vary substantially from customer to customer and could extend over a number of years for some customers. Our sales efforts are expected to involve educating our customers about the use, technical capabilities, and benefits of our offerings. Customers often undertake a prolonged evaluation process. In addition, the size of potential customers may lead to longer sales cycles. We may also face unexpected deployment challenges with large organizations or more complicated deployment of our offerings.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As a result, it is difficult to predict exactly when, or even if, we will make a sale to a potential customer or if we can increase sales to existing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sales can be part of a long sales cycle, which impacts our ability to plan and manage cash flows and margins. These large individual sales have, in some cases, occurred in quarters subsequent to those we anticipated, or have not occurred at all. If our sales cycle lengthens or our substantial upfront investments do not result in sufficient revenue to justify our investments, our operating results could be adversely affected. In addition, within each quarter, it is difficult to project which month a deal will close. Therefore, it is difficult to determine whether we are achieving our quarterly expectations and whether we will achieve annual expectations. We may fail to budget and manage costs and operating expenses or anticipate working capital needs. Therefore, if expectations for our business are not accurate, we may not be able to adjust our cost structure on a timely basis, and our margins and cash flows may differ from expectations.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respond to rapid technological changes, extend our quantum computing application development solutions, or develop new features and functionality, our ability to remain competitive could be impaired.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quantum computing application development solutions is characterized by rapid technological change, particularly since quantum computing is a new and evolving industry, including frequent new hardware and software introductions and enhancements, changing customer demands, and evolving industry standards. The introduction of software embodying new technologies can quickly make existing software obsolete and unmarketable. Quantum computing is inherently complex, and it can take a long time and require significant research and development expenditures to develop and test new or enhanced methods and solutions. The success of any enhancements or improvements to our existing quantum computing application development solutions or any new applications depends on several factors, including timely completion, competitive pricing, adequate quality testing, integration with existing technologies, and overall market acceptance, particularly as we provide custom solutions for specific use cases.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of our quantum computing application development solutions to operate effectively with future infrastructure platforms and technologies could impact our ability to attain new customers and generate revenue therefrom. If we are unable to respond to these changes in a timely and cost-effective manner, our quantum computing application development solutions may become less marketable, less competitive, or obsolete, and our business may be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quantum computing platforms and applications by competitors or the development of entirely new technologies to replace existing offerings could make our quantum computing application development solutions obsolete or adversely affect our business, results of operations, and financial condition. We may experience difficulties with software development, design, or marketing that could delay or prevent our development, introduction, or implementation of new quantum computing application development solutions, features, or capabilities, applying our existing quantum computing application development solutions to new use cases. Any delays could result in adverse publicity, loss of revenue or market acceptance, or claims by customers brought against us, all of which could harm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negatively impacted by delays in development of our software platform.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plans, including raising sufficient capital and obtaining adequate staffing and other resources, that we believe if successfully executed will result in the development of and continued improvements to our software platform on a schedule that permits the execution of our business plan in a timely manner. Any delays in platform design and engineering work required to accomplish this could result in corresponding delays in the implementation of our business plan in the market. We are presently unaware of any outstanding design or engineering issues that cannot be resolved in the normal course, but the failure to complete necessary components of or improvements to its platform in a timely manner would have a serious negative impact on the company and might cause the company to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support services for our customers may harm our relationships with our customers and, consequently,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quantum computing application development solutions are deployed, customers will depend on our services teams to resolve technical and operational issues relating to our quantum computing application development solutions. Our ability to provide effective support will largely be dependent on our ability to attract, train, and retain qualified personnel with experience in interfacing with customers. If in the future the number of our customers grows, this will put additional pressure on our customer services teams. We may be unable to respond quickly enough to accommodate short-term increases in customer demand for support. We also may be unable to modify the future, scope, and delivery of our support to compete with changes in the services provided by our competitors. Increased customer demand for support services, without corresponding revenue, could increase costs and negatively affect our operating results. In addition, if we experience increased customer demand for support, we may face increased costs that may harm our results of operations. If our customer base expands, we will need to hire additional support staff to deliver and support our quantum computing application development solutions, and our business may be harmed. Our ability to attract and retain customers is highly dependent on our ability to deliver value to customers. Any failure to deliver value would harm our business and materially adversely affect our operating results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to government entities and highly regulated organizations are subject to a number of challenges and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U.S. government contracts as a revenue source. We may also target highly regulated organizations. Sales to such entities are subject to a number of challenges and risks. Selling to such entities can be highly competitive, expensive, and time consuming, often requiring significant upfront time and expense without any assurance that these efforts will generate a sale. Government contracting requirements may change and in doing so restrict our ability to sell into the government sector. Government demand and payment for our quantum computing application development solutions may be affected by public sector budgetary cycles and funding authorizations, with funding reductions or delays adversely affecting public sector demand for our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governmental and highly regulated entities may demand contract terms that differ from our standard arrangements and may be less favorable than terms agreed with private sector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governmental entities may also include preferential pricing terms, including, but not limited to, “most favored customer” pricing. In the event that we are successful in being awarded a government contract, such award may be subject to appeals, disputes, or litigation, including but not limited to bid protests by unsuccessful bidders.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government contractor or subcontractor, we will be required to comply with laws, regulations, and contractual provisions relating to the formation, administration, and performance of government contracts,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channel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from any government entity or highly regulated organization for a particular quarter are not realized in that quarter or at all, our business, financial condition, results of operations, and growth prospects could be materially and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could be materially affected by problems with or defects in the Orquestra platform or our other software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issues commonly facing all providers of commercial software, the development of our quantum computing application development solutions involves converting novel, complex scientific algorithms into software code. We may experience unintended design and/or implementation defects or other quality issues in our software code. We may also experience defects in the products and services of third parties on which we rely to provide our products and services, including third-party cloud providers. Problems can be caused by a variety of factors, including premature or failed introduction of new products, vulnerabilities or defects in proprietary and open source software, human error or misconduct, design limitations, or denial of service or other security-related incidents. We do not have a contractual right with our public cloud providers that will compensate us for any losses due to availability interruptions in the public cloud.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defects in the Orquestra platform or other software offerings, whether caused by defective design, defective coding, or defects introduced through third-party components; any disruptions in our ability to provide our quantum computing application development solutions, including by means of public cloud; and/or any other quality issues with our quantum computing application development solutions could affect our business reputation and brand, could cause us to spend material amounts to address the defects, could cause material delays in the execution of our business plan, and could have a material adverse effect on our business opportunities, revenue, and future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pursuit of inorganic growth opportunities could result in harm to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growth opportunities by acquiring complementary businesses or other assets for strategic purposes, such as companies with products and services used in, complementary to, or overlapping with our offerings; companies with an IP portfolio that could complement ours; companies with customer lists that could shorten the sales cycle to significant customers. The pursuit of such strategic opportunities could be both expensive and distracting, could have a significant impact on the company’s capital structure, and even if a transaction is completed as desired the results may not be as predicted. To the extent such opportunities may arise, there can be no assurance that the pursuit of any such opportunities will succeed and, if they fail, they could have a material adverse effect on our business and future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Competition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Competitors may develop products and technologies that are superior to our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is based on the belief that the value of our quantum computing application development solutions will be enhanced by delivering, in a single unified software platform, the ability to: allow deployment in any desired environment; permit the development or implementation of applications and services that are capable of data handling tasks, including processing data in a manner calculated to maximize the performance of quantum and hybrid computing solutions, and leveraging AI to accelerate quantum application development. While we believe our approach is differentiated, other companies are actively developing quantum software, benchmarking, and workflow tools that may overlap with or compete against ours. Further, a prolonged delay in re-starting revenue-generating operations will give our competitors a timing advantage to enter and pursue market opportunities which we may have otherwise have had an opportunity to pursue, which delay and resulting disadvantage will continue until we can raise sufficient capital and hire the necessary personnel to pursuant our business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existing and potential competitors have, or could have, substantial competitive advantages such as: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greater name recognition, longer operating histories, and larger customer bases;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larger sales and marketing budgets and resources and the capacity to leverage their sales efforts and marketing expenditures across a broader portfolio of products and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existing, broader, deeper, or otherwise more established relationships with sales partners and customers;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wider geographic presence or greater access to larger customer bases;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greater focus in specific geographies or industries;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lower labor and research and development costs;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larger and more mature intellectual property portfolios;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substantially greater financial, technical, and other resources to provide support, make acquisitions, hire talent, and develop and introduce new products and services.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a competitor will not develop a product superior to ours or one that is perceived by the market to be superior. Nor can there be any guarantee that a combination of products will not be able to provide solutions that are superior, or are perceived to be superior, to our quantum computing application development solutions. The introduction of such a product or combination of products could have a material adverse effect on our business, profitability,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quantum computing industry is highly competitive and we may not be successful in establishing ourselves as a viable competitor without regard to the value of our quantum computing application development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computing is an industry with great promise that has attracted global interest and participation. In addition, the recent rapid rise of the quantum computing industry has given rise to less-established public and private companies, including new startups, which may compete, in whole or in part, with our products and services. This competition in the market for quantum computing is already great and is expected to intensify over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compete successfully in this market, we must develop our products and technologies in a timely manner, effectively market these products against multiple competitors, and support these products at levels expected by enterprise customers. Delays in the introduction of products and services may cause potential customers to adopt competitors’ products, making it difficult or impossible for our products later to displace the competitive products without regard to the relative value of the respective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timely deliver products that will result in us having a material share of this market, even if our products are superior. Our inability to establish a position and market share in this highly competitive industry will adversely affect our future prospects and may cause the company to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depends, in part, on access to public clouds computing through major cloud providers and there is no guarantee that access will be available on reasonable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quantum computing application development solutions will permit deployment of our software in various scenarios, including on the premises of a customer, hybrid clouds controlled by the customer, or a public cloud controlled by us. Although not necessary in all customer engagements, an important aspect of business plan is to make our quantum computing application development solutions available via a public cloud controlled by us. To accomplish this, we are required to negotiate cloud access with one or more cloud providers. Multiple large public cloud providers, such as Google and Microsoft, are both engaged in their own initiatives that could compete with our quantum computing application development solutions in whole or in part. There is a risk that a cloud provider important to our business plan could use control of their public cloud to deny or place us at a competitive disadvantage by various means, including embedding innovations or privileged interoperating capabilities in products competing with ours, bundling competing products, requiring unfavorable pricing, including terms or conditions or regulatory requirements that make our quantum computing application development solutions uncompetitive, or leveraging their existing relationships with our customers to pressure customers to use their products rather than ours. Further, if we fail to comply with requirements of these third parties, we could be denied access to a critical platform, which would have a material adverse effect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we will be able to deploy our quantum computing application development solutions on public clouds controlled by competitors. The failure to be able to access public clouds, or the imposition of restrictive terms as a condition to such access, limit the adoption and use of our quantum computing application development solutions by customers, increase our operating expenses, damage our brand, and/or place us at a disadvantage when competing for customer accounts. Any of these could have a material adverse effect on our business operations, market share, and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 depends, in part, on access to quantum processing units (QPUs), high-performance classical compute resources, and other specialized hardware either directly through the purchase of computing hardware and installation in data centers, or through third party providers. There is no guarantee that access through either path will be available on reasonable terms,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techniques developed by us require the use of specialized hardware to execute an algorithm in a time or cost-efficient manner as required by the constraints of an application. Access to this hardware can be obtained through the purchase of quantum or hybrid computing systems and installation in a data center or on-premise, or through a third-party infrastructure service provider. Hardware could be purchased or accessed from providers such as IBM, IonQ, D-Wave, Rigetti or NVIDIA. Many of these providers are also our competitors in that they operate in the quantum software space in addition to hardware. Supply chain problems, chip shortages, or regulatory or geopolitical conditions beyond our control including tariffs or trade restrictions could all impact our ability to access this hardware, either directly or through a third-party provider, and/or the prices we must pay for the hardware. Additionally, obtaining space in an existing facility and maintaining the hardware would require additional expertise that would need to be either hired or contracted by us, and identifying and hiring such experts could be costly and time-consuming. We could also face difficulties securing terms to host this hardware on reasonable terms, or at all, and we may be forced to incur substantial additional or unforeseen expenses to navigate these challenges.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instead of competing to purchase hardware directly, we could rent time on that hardware from classical or quantum cloud infrastructure service providers, such as Amazon AWS, Amazon Braket, Oracle Cloud, Microsoft Azure, or IBM Quantum. In this case, we would rely on third-party providers to provide cloud-based network access to these systems on an hourly, subscription, or other basis. However, there can be no assurance that these third-party providers could obtain or maintain access to quantum hardware on reasonable terms, or at all. If we are unable to access on favorable terms the necessary hardware to operate our business as needed to establish, sustain or grow our operations as planned, it will have a material adverse effect on our business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relating to quantum computing, quantum inspired classical methods, algorithms and software, differential equations and optimization, and hardware optimization. In addition to those who may have patents or patent applications directed to relevant technology with an effective filing date earlier than any of our existing patents or pending patent applications,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patent applications succeed and we are issued patents in accordance with them,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our IP will provide the desired competitive advantage.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provide ourselves with a competitive advantage by making key elements of our quantum computing application development solutions proprietary, through one of two means. First, we pursue patent protection for some inventions that we believe qualify for protection under the patent laws. In cases in which patent protection is sought, the details of the invention eventually will be made public in the normal course, usually within eighteen months of filing. As to these inventions, competitors will eventually know the details of and can use the inventions to compete with us, unless a patent is granted prohibiting such use and we can learn of violations and effectively enforce our patent rights in light of the costs and complexities involved in such enforcement litigation. Second, some elements of our quantum computing application development solutions we seek to protect as trade secrets. As to our trade secrets, competitors will not be able to know our techniques provided the trade secrets are not improperly disclosed, but if a competitor independently develops the same technique and files for and is granted patent protection we could find ourselves prohibited by the patent laws from practicing our trade secret technology.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pending or future patent applications will be granted and provide us patent protection as to the claims in those applications. Moreover, we cannot guarantee that our patent rights will not be violated by competitors, that we will be able to detect such violations, or that if violations are detected we will be in a position effectively to enforce our patent rights. Nor can we guarantee that our trade secrets will remain secret and not be disclosed to competitors either inadvertently or through violation of contractual secrecy agreements, or that our trade secrets are not independently developed by competitors. The failure of our IP strategy to protect key elements of our quantum computing application development solutions could materially reduce any competitive advantage we might otherwise have and have a corresponding adverse effect on our market share and/or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services, or technologies, which could result in a significant expenditure and otherwise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intellectual property disputes. Intellectual property litigation is often extremely expensive and entails high legal fees and costs of expert witnesses.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For example, there may be issued patents of which we are unaware, held by third parties that, if found to be valid and enforceable, could be alleged to be infringed by our current or future products, services or technologies.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also may be pending patent applications of which we are not aware that may result in issued patents, which could be alleged to be infringed by our current or future products, services or technologies.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Lawsuits can be time-consuming and expensive to resolve, and they divert management’s time and attention. Numerous patents and pending patent applications owned by others exist in the fields in which we have developed and are developing our technology.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any third-party claims against their use. In addition, many companies have the capability to dedicate substantially greater resources to enforce their intellectual property rights and to defend claims that may be brought against them. In a patent infringement claim against us, we may assert, as a defense, that we do not infringe the relevant patent claims, that the patent is invalid or both. The strength of our defenses will depend on the patents asserted, the interpretation of these patents, and its ability to invalidate the asserted patents. However, we could be unsuccessful in advancing non-infringement and/or invalidity arguments in its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Our patent portfolio may not be large enough to deter patent infringement claims, and our competitors and others may now and in the future have significantly larger and more mature patent portfolios. Any litigation may also involve patent holding companies or other adverse patent owners that have no relevant solution revenue, and therefore, our patent portfolio may provide little or no deterrence as it would not be able to assert its patents against such entities or individuals. If a third party is able to obtain an injunction preventing us from accessing such third-party intellectual property rights, or if we cannot license or develop alternative technology for any infringing aspect of our business, we may be forced to limit or stop sales of its products, services or technologies or cease business activities related to such intellectual property. Although the Company carries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its business, financial condition or results of operations. Any intellectual property litigation to which we might become a party, or for which it is required to provide indemnification, regardless of the merit of the claim or its defenses, may require us to do one or more of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cease selling or using solutions or services that incorporate the intellectual property rights that allegedly infringe, misappropriate or violate the intellectual property of a third party;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make substantial payments for legal fees, settlement payments or other costs or damages;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obtain a license, which may not be available on reasonable terms or at all, to sell or use the relevant technology;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redesign the allegedly infringing solutions to avoid infringement, misappropriation or violation, which could be costly, time-consuming or impossible;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indemnify organizations using our services or platform or third-party service providers.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claims do not result in litigation or are resolved in our favor, these claims, and the time and resources necessary to resolve them, could divert the resources of its management and harm its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infringement claims may grow as the market for our products, services and technologies grows. Accordingly, our exposure to damages resulting from infringement claims could increase and this could further exhaust its financial and management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third-party open source software could negatively affect our ability to offer and sell subscriptions to our quantum computing application development solutions and subject us to possible litigation.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quantum computing application development solutions. Any of the foregoing could harm our business and could help our competitors develop platforms and applications that are similar to or better than ours.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companies that currently sponsor and maintain open source software may choose to change the terms of their open source software licenses. These license changes could cause us to lose access to upgrades for commercial use that are currently available to us or otherwise restrict the way we are currently using them. These changes could mean that we must invest engineering resources to maintain that library itself, move to a different underlying software library, or engineer a replacement in order to keep the same feature set in its offerings.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characteristics of open source software, there may be fewer technology barriers to entry by new competitors and it may be relatively easy for new and existing competitors with greater resources than we have to compete with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quantum computing application development solutions.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quantum computing application development solutions.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to a significant degree on a number of open source software programmers, or committers and contributors, to develop and enhance components of our quantum computing application development solutions. Additionally, members of the corresponding Apache Software Foundation Project Management Committees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quantum computing application development solutions.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quantum computing application development solutions could cause our offerings to be less competitive, impair customer acceptance of our solutions, and result in delayed or reduced revenue for our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 and Litigation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United States and foreign laws related to privacy, data security, and data protection, it could adversely affect our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either directly or through our future customers, collaborators or end-users of our products, are or may become subject to a variety of laws and regulations regarding privacy, data protection, and data security. This includes the European Union’s (“EU”) General Data Protection Regulation (the “EU GDPR”). Other countries where we may seek to do business also may have data privacy laws we will be required to comply with. These laws and regulations are continuously evolving and developing. The scope and interpretation of the laws that are or may be applicable to us are often uncertain and may be conflicting, particularly with respect to foreign laws. The application of these laws and regulations can arise from our technology and applications, website, social media activities, relationships with third parties and their operations, or from other activities we undertake now or that we may undertake in the future. Data privacy and protection regulations are frequently broad in terms of scope of the information protected, activities affected, and geographic reach.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numerous United States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For example, the GDPR includes operational requirements for companies that receive or process personal data of residents of the EU that are broader and more stringent than those previously in place in the EU and in most other jurisdictions around the world. The GDPR includes significant penalties for non-compliance, including fines of up to €20 million or 4% of total worldwide revenue. Additionally, in June 2018, California enacted the California Consumer Privacy Act (the “CCPA”). The CCPA requires covered companies to provide California consumers with new disclosures and will expand the rights afforded consumers regarding their data. Fines for noncompliance may be up to $7,500 per violation. In September 2025, California amended the CCPA to (i) regulate technologies that replace or substantially replace human decisions, (ii) require comprehensive risk assessment reports that address specific processing activities that present a significant risk to a consumer’s privacy, and (iii) clarify when a cyber security audit must be conducted.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compliance with, and other burdens imposed by, the GDPR, CCPA, and other laws relating to data privacy and protection may limit the use or adoption of our products and services and/or require us to incur substantial compliance costs, which could have an adverse impact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CCPA was enacted, the United States currently has at least 21 states – California, Colorado, Connecticut, Delaware, Indiana, Iowa, Kentucky, Maryland, Minnesota, Montana, Nebraska, New Hampshire, New Jersey, Oregon, Rhode Island, Tennessee, Texas, Utah, Virginia, Indiana, and Arkansas that have comprehensive data privacy laws in place, or enacted comprehensive data privacy laws set to soon take effect. An additional seven states have enacted narrower privacy laws – Florida, Maine, Michigan, Nevada, New York, Vermont, Washington and Wisconsin. As of May 2026, at least nine states with existing privacy statutes expanded the scope of their privacy frameworks, including Colorado, Connecticut, Virginia, Utah, Texas, Oregon, Montana, and Kentucky. However, this patchwork approach to privacy legislation could pose compliance and liability risks for companies that have multistate operations. Proposed and enacted bills in various states have similar rights in preexisting privacy legislation but differ in implementation and enforcement.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strive to comply with all applicable laws, policies, legal obligations, and industry codes of conduct relating to privacy, data security, and data protection. Our limited resources may adversely affect our compliance effort. Given that the scope, interpretation, and application of these laws and regulations are often uncertain and may be in conflict across jurisdictions, it is possible that these obligations may be interpreted and applied in a manner that is inconsistent from one jurisdiction to another and may conflict with other rules or our practices. Any failure or perceived failure by us, customers, or third-party vendors or end-users involved with our products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are continuing to focus on privacy and data security, and it is possible that new privacy or data security laws will be passed or existing laws will be amended in a way that is material to our business. Any significant change to applicable laws, regulations, or industry practices regarding the personal data of our employees, agents or customers could require us to modify our practices and may limit our ability to expand or sustain our salesforce or bring our products to market. Changes to applicable laws and regulations in this area could subject us to additional regulation and oversight, any of which could significantly increase our operating costs and materially affect our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privacy, data protection and security laws, we may become subject to contractually mandated standards and/or industry standards adopted by industry groups, as well as other potential obligations related to privacy, data protection and security, and our efforts to comply with such obligations may not be successful.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related to privacy, data protection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times fail, or be perceived to have failed, in our efforts to comply with our privacy, data protection or security obligations. Moreover, despite our efforts, our personnel or third parties on whom we rely may fail, or be perceived to have failed, to comply with such obligations, which could negatively impact our business operations. If we or the third parties on which we rely fail, or are perceived to have failed, to address or comply with applicable privacy, data protection or security obligations, we could face significant consequences, including but not limited to: government enforcement actions (e.g., investigations, fines, penalties, audits, inspections, and similar events);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interruptions or stoppages in our business operations or data collection; limited ability to develop or commercialize our products; expenditure of time and resources to defend any claim or inquiry; adverse publicity; or substantial changes to our business model or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data use, privacy, and security laws will be an inherent feature in our product design and a change in those laws could negatively affect the value of our quantum computing application development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provide quantum computing application development solutions to large enterprise users located anywhere in the world. We anticipate that the data required to be processed by such solutions can be located in different jurisdictions, subject to different and changing data laws. We also anticipate that our future enterprise customers may have their own policies with respect to the manner in which the data they maintain can be handled, stored, and used. Our quantum computing application development solutions are and will continue to be designed to permit compliance with any applicable data laws or internal IT policy of enterprise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however, that our software product design is adequate to permit the deployment of our quantum computing application development solutions in compliance with existing data laws or customer policies or that these laws and/or policies will not change in the future in a way that makes deployment of our solutions impossible or more costly. A failure on our part to design and re-design our software platform to permit compliance with applicable data laws and customer policies could limit our sales, harming our growth and profitability, or in the worst case create substantial contract liability to a customer for causing a breach of applicable data laws with respect to the customer’s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anti-bribery, and similar laws, the violation of which can lead to substantial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anti-corruption and anti-bribery laws in the U.S., including the U.S. Foreign Corrupt Practices Act of 1977, as amended, and the U.S. domestic bribery laws, and other anti-corruption and anti-money laundering laws in any countries in which we conduct activities. Such laws prohibit companies, their employees, and their third-party agents and representatives from authorizing, promising, offering, soliciting, or accepting, directly or indirectly, improper payments or benefits to or form any person whether in the public or private sector. Awareness of and compliance with these laws is of particular concern to us, because we are and intend in the future to be doing business with both U.S. and foreign entities, some of which are affiliates of the U.S. or foreign governments. In addition, our business is likely to require us to seek governmental approvals from time to time. Detecting, investigating, and resolving any actual or alleged violations of these laws can be expensive and time-consuming.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our efforts to comply with these laws will be successful and a failure to comply, whether such failure results from the actions of our own employees or a third-party representing us, could result in costly internal or outside investigations, whistleblower complaints, governmental investigations and enforcement actions, substantial financial settlements, fines or other criminal penalties, injunctions or other bans limiting our ability to do business, reputational harm, and other collateral consequences, any of which could have a material adverse effect on our profitability and the value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we have customers outside the United States, we may be subject to increased business and economic risks that could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have customers and business development activities in countries outside of North America, including Asia (e.g., Japan and Singapore) and Europe (e.g., the United Kingdom, Spain and Denmark). Subject to cash availability, we plan to include international markets in addition to prospective U.S.-based customers in our marketing efforts. Any new markets or countries into which we attempt to sell our quantum computing application development solutions may not be receptive. For example, we may not be able to expand further in some markets if we are not able to satisfy certain government-and industry-specific requirements. In addition, our ability to manage our business and conduct our operations internationally in the future may require considerable management attention and resources and is subject to the particular challenges of supporting an early stage company with limited resources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recruiting and retaining talented and capable employees outside the United States and maintaining our company culture across all of our offices;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potentially different pricing environments, longer sales cycles, and longer accounts receivable payment cycles and collections issues;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operating in jurisdictions that do not protect intellectual property rights to the same extent as does the United States and the practical enforcement of such intellectual property rights outside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securing our locally operated systems and our data and the data of our customers and partners accessible from such jurisdictions;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compliance by us and our business partners with anti-corruption laws, import and export control laws, tariffs, trade barriers, economic sanctions, anti-money laundering laws and other regulatory limitations on our ability to provide our quantum computing application development solutions in certain international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foreign exchange controls that might require significant lead time in setting up operations in certain geographic territories and might prevent us from repatriating cash earned outside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political and economic instability, including military actions affecting Russia, Ukraine, the Middle East and/or surrounding regions, changes in political conditions in China and changes in the state of China-U.S. relations, including any developments or tensions relating to tariffs and “trade wars” between the U.S. and China and potential military conflict between China and Taiwan;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in diplomatic and trade relationships, including the imposition of new trade restrictions, trade protection measures, import or export requirements, trade embargoes, and other trade barriers;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generally longer payment cycles and greater difficulty in collecting accounts receivable;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double taxation of our international earnings and potentially adverse tax consequences due to changes in the income and other tax laws of the United States or the international jurisdictions in which we operate;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higher costs of doing business internationally, including increased accounting, travel, infrastructure, and legal compliance costs.</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Outside Our Specific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relies on computer systems which are vulnerable to attack and/or failure.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nearly every business, we rely on computers and computer networks, both public and private, to perform most of the actions required for us to do business, including internal and external communications, development of our software and IP, storage of our business and financial records, and deployment of our quantum computing application development solutions. Such computer systems are inherently susceptible to unintentional failures as well as various forms of cyber-attack, including denial of service attacks, ransomware attacks, email hacking and phishing, computer malware and viruses, and social engineering attacks. Like other companies, we may also be the subject of unauthorized access resulting from employee negligence or misconduct. These risks are potentially greater for us because the nature of our business provides an additional incentive for bad actors, including foreign nation states and domestic and foreign businesses, to attack our systems for the purpose of gaining information about generative AI, quantum computing and quantum algorithms, the development of which currently is a priority for many businesses and countries.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Orquestra platform is built to be accessed through third-party public cloud providers such as Amazon AWS and Micrsoft Azure. These providers may also experience breaches and attacks to their products which may impact our systems. Data security breaches may also result from non-technical means, such as actions by an employee with access to our systems.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technology systems, or those of the third parties upon whom we rely. A security incident or other interruption could disrupt our ability (and that of third parties upon whom we rely) to provide our platform or other software. Any actual or potential security breach of our software, our operational systems, our physical facilities, or the systems or facilities of our vendors, or the perception that one has occurred, could result in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 with further financial, operational, and reputational damage.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services.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involving customer or partner data on our systems.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may cause us to breach customer contracts.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litigation (including class claims); indemnification obligations; negative publicity; reputational harm; monetary fund diversions; interruptions in our operations (including availability of data); financial loss; and other similar harms. Litigation resulting from security breaches may adversely affect our business. Unauthorized access to our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software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software, systems, or networks may be perceived as less desirable, which could negatively affect our business and damage our reputation.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that our insurers will not deny coverage as to all or part of any future claim or loss. Our risks are likely to increase if we commercialize our business, and we store, transmit, and otherwise process increasingly large amounts of proprietary and sensitive data. There can be no assurance that we can successfully prevent such occurrences, which could damage our reputation and/or result in the theft our important IP, either of which could damage our business prospects and future profitability.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Widespread damage to the U.S. or global economy and/or our industry would likely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economy and the global economy as a whole are susceptible to conditions unrelated to us or the computing industry, including the possibility of an economic recession, international trade wars, natural catastrophes, climate change, and terrorism, or other matters that could have a general widespread negative impact on global commerce. In recent times, the probability of a recession and/or market downturn in the near term has increased in recent times due to wars and geopolitical conflicts including those in the Middle East, Ukraine and Latin America, the impact of tariffs and related litigation, potential inflation, reductions in consumer sentiment, uncertainty and volatility in the capital markets and the possibility of deteriorating labor market. Any such condition or development could affect our business in one or more of a variety of ways, including reducing or eliminating the availability of capital at a time when we require such capital, denying us the ability to sell our quantum computing application development solutions in certain countries around the world, restricting our ability to hire qualified employees needed to effectuate our business plan, diminishing our ability to obtain customers, causing customers to reduce or eliminate their expenditures on quantum techniques enhanced software or generative AI computing, and/or preventing customers from paying amounts owed to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many market analysts and other stakeholders have voiced growing concerns that the technology sector, including AI and quantum-focused businesses, are potentially overvalued and could be in a stock market “bubble” characterized by extreme valuations and unsustainable stock price growth over the past few years. If these views prove to be correct, or if the public begins to perceive such concerns as valid, it could result in a severe market correction or downturn, which could materially adversely affect us, including by limiting or preventing us from raising capital and by diminishing our customer base and market for our products and services.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the U.S. or global economies could materially harm our business and if we are unable to persevere through such adverse conditions could cause us to fail.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are difficult issues to navigate in the development and use of AI, which may result in reputational harm or liability, and failure to introduce new and innovative solutions that have AI capabilities could put us at a competitive disadvantage.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machine learning and AI capabilities into certain of our solutions and operating activities, and may seek to expand the use of AI in our solutions in the future. As with many innovations, AI presents risks, challenges, and unintended consequences that could affect our business. AI algorithms and training methodologies may be flawed. These deficiencies and other failures of AI systems could subject us to competitive harm, regulatory action, legal liability, and brand or reputational harm. Further, incorporating AI could give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 If we adopt AI functions in our solutions and operations, we will be subject to the foregoing risks, any of which could have a material adverse affect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leveraging AI capabilities to potentially improve internal functions and operations presents further risks and challenges. The use of AI to support business operations carries inherent risks related to data privacy and security, such as intended, unintended, or inadvertent transmission of proprietary, sensitive or export-controlled information, as well as challenges related to implementing and maintaining AI tools. Additionally, our competitors may be quicker than we are in gaining efficiencies by incorporating AI into their design and development processes, and our solutions and/or cost structure could become less competitive as a result. The rapid evolution of AI will require the application of resources by us to develop, test and maintain our services and operations to help ensure that AI is implemented ethically in order to minimize unintended, harmful impact. Any inability or issues arising in our efforts to navigate developments presented by AI and other emerging technologies could materially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Ownership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number of shares of Common Stock issuable upon conversion and exercise of outstanding securities, holders of our Common Stock will experience substantial future dilution and downward price pressure on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187,303,921 shares of our Common Stock issued and outstanding as of July 8, 2026. We will be obligated to issue all or very many of the following shares of Common Stock which will dilute our current stockholders: (1) 75,000,000 shares of Common Stock issuable upon exercise of convertible notes, (2) 85,063,587 shares of Common Stock issuable upon exercise of outstanding warrants, (4) 46,143,786 shares of Common Stock issuable upon conversion of our Series C Convertible Preferred Stock and Series D Convertible Preferred Stock, and (5) 40,857,265 shares of Common Stock issuable upon exercise of outstanding stock options. In addition, we expect to issue additional securities in the near future in order to raise capital and to hire and retain personnel, and also may issue additional securities including potentially in the short term to raise capital or engage in strategic transactions. Of the securities described in (1) – (5) above, 179,733,000 shares of Common Stock are subject certain Universal Resale and Registration Provisions (the “Resale Provisions”) pursuant to which such recipients agreed to certain lock-up provisions restricting and limiting their sale, transfer, pledge, or disposal of any shares of Common Stock held by or issuable to such recipients for a period ending 12 months following the date of a resale registration statement with respect to the Common Stock comprising or underlying such securities is declared effective by the Securities and Exchange Commission (“SEC”) (such period, the “Lock-Up Period”). The Resale Provisions provide that up to 10% of each holder’s shares may be sold or transferred during the first 90 days following such effective date, and up to 25% of such holder’s shares may be sold or transferred in each subsequent 90 day period thereafter for the remainder of the Lock-Up Period; and that during each of the third and fourth ninety 90 day periods referred to above, each holder may sell or transfer up to an additional 10% of its shares, but only to the extent such amount represents shares that were eligible for sale or transfer in prior periods but were not sold or transferred by such holder. The Resale Provisions also contains certain additional limitations and exceptions with respect to such lock-up provisions, including a volume limitation on the holders’ sales of shares pursuant to which the holders collectively may not sell more than 10% of the shares in a given trading day, and the cessation of the Lock-Up Period and termination of such lock-up provisions if certain events do not occur within a specified time and as more particularly set forth therein. Pursuant to the Resale Provisions the Company also agreed to provide the holders with registration rights pursuant to which, if the Company closes a securities offering resulting in gross proceeds of at least $5 million, the holders shall have “piggy back” registration rights for the inclusion for resale of their shares to be registered on any subsequent registration statement filed with the SEC in connection with such offering. The Company also agreed to file a registration statement for the holders’ sales of shares by June 8, 2026, and to cause such registration statement to be declared effective within 90 days thereafter. The registration statement of which this Prospectus is a part is being filed in connection with these obligations. The Company also agreed to provide the holders with certain indemnification rights in connection with such registration rights.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Further, under the Resale Provisions, if the Company fails to adhere to the above requirements, the Lock-Up Period immediately ends and the Resale Provisions cease to be in effect, in which case all 179,733,000 shares of Common Stock as described above which are subject to the Resale Provisions will become immediately sellable by the holders without any contractual restrictions. Such event could result in a high volume of sales in a short period of time, which could result is significant downward pressure on our stock price and volatility in the trading of our Common Stock. See “</w:t>
      </w:r>
      <w:hyperlink w:anchor="s1_029">
        <w:r>
          <w:rPr>
            <w:rStyle w:val="InternetLink"/>
            <w:rFonts w:ascii="Times New Roman;Times;Serif" w:hAnsi="Times New Roman;Times;Serif"/>
            <w:b w:val="false"/>
            <w:i w:val="false"/>
            <w:caps w:val="false"/>
            <w:smallCaps w:val="false"/>
            <w:sz w:val="20"/>
          </w:rPr>
          <w:t>Private Placements – Universal Resale and Registration Provisions</w:t>
        </w:r>
      </w:hyperlink>
      <w:r>
        <w:rPr>
          <w:rFonts w:ascii="Times New Roman;Times;Serif" w:hAnsi="Times New Roman;Times;Serif"/>
          <w:b w:val="false"/>
          <w:i w:val="false"/>
          <w:caps w:val="false"/>
          <w:smallCaps w:val="false"/>
          <w:sz w:val="20"/>
        </w:rPr>
        <w:t>” on page 41.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expect to obtain financing or to further increase our capital resources by issuing additional shares of our capital stock or offering debt (subject to the limitations under the existing agreements) or other equity securities, including senior or subordinated notes, debt securities convertible into equity, or shares of preferred stock. Issuing additional shares of capital stock, other equity securities, or securities convertible into equity may dilute the economic and voting rights of our then-existing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its control, which may adversely affect the amount, timing, or nature of its future offerings. As a result, holders of our Common Stock bear the risk that our future offerings may reduce the market price of our Common Stock and dilute their percentage ownership.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shares of Common Stock is subject to volatility.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may continue to be volatile and fluctuate substantially, which could cause the value of your investment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fluctuations in the trading price of our Common Stock include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price and volume fluctuations in the overall stock market from time to time;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volatility in the trading prices and trading volumes of technology industry stocks;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in operating performance and stock market valuations of other technology companies generally, or those in our industry in particular;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sales of shares of our Common Stock or Common Stock equivalents by stockholders or by us, including sales by the various creditors we exchanged equity for liabilities in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timing and impact of developments related to contractual agreements we have entered into or may in the future enter into with respect to our securities, including with respect to the Resale Provisions described above an any capital raising or strategic transactions we pursue in the future;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failure of securities analysts to maintain coverage of us, changes in financial estimates by securities analysts who follow our company or our failure to meet these estimates or the expectations of investors;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financial projections we may provide to the public, any changes in those projections or our failure to meet those projections;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announcements by us or our competitors of new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public’s reaction to our press releases, other public announcements and filings with the SEC, including the registration statement of which this prospectus is a part;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rumors and market speculation involving us or other companies in our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actual or anticipated changes in our results of operations or fluctuations in our results of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actual or anticipated developments in our business, our competitors’ businesses or the competitive landscape generally;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litigation involving us, our industry or both, or investigations by regulators into our operations or those of our competitors;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developments or disputes concerning our intellectual property or other proprietary rights;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announced or completed acquisitions of businesses, services or technologies by us or our competitors;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new laws or regulations or new interpretations of existing laws or regulations applicable to our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changes in accounting standards, policies, guidelines, interpretations or principles;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any significant change in our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economic instability in the global financial markets and slow or negative growth of our markets;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other factors described in this “</w:t>
            </w:r>
            <w:hyperlink w:anchor="s1_006">
              <w:r>
                <w:rPr>
                  <w:rStyle w:val="InternetLink"/>
                </w:rPr>
                <w:t>Risk Factors</w:t>
              </w:r>
            </w:hyperlink>
            <w:r>
              <w:rPr/>
              <w:t>” section.</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currently a limited trading market for the Company’s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quoted on the OTCQB under the symbol “ZPTA.” Because of our quotation on the OTCQB, there has been and we expect that there will continue to be a limited trading market in our Common Stock with sporadic and volatile changes in the volume and prices of trades, rendering trading in our Common Stock at any given time speculative and risky. We cannot assure you that a consistent, active trading market or price or volume stability will develop or be maintained. Trading on the OTCQB is less liquid than the leading national securities exchanges and a higher tier OTC quotation system. The lack of a consistent active market and other aspects of trading in our Common Stock as described above may impair your ability to sell your shares at the time you wish to sell them or at a price or quantity that enables you to realize a profit on your investment or that you otherwise consider reasonable.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a “penny stock” and thereby be subject to additional sale and trading regulations that may depress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a “penny stock” if it does not qualify for one of the exemptions from the definition of “penny stock” under Section 3a51-1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result or effect of being designated a penny stock is that securities broker-dealers participating in sales of our Common Stock are discouraged from soliciting purchases of our Common Stock by the SEC’s rules which generally results in low prices and limited trading volume. For example, SEC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 In addition, clearing firms, which hold retail accounts dislike penny stocks and through extra compliance efforts and costs they impose, make it hard to sell penny stocks.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former shell company, we face certain disadvantages relative to other companies, including ineligibility for certain forms and rules for extended periods.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Until 2024, we were a special purpose acquisition company which is a form of shell company under the rules of the SEC. Shell companies are more highly regulated than non-shell operating companies and face certain restrictions on their activities under federal securities laws. However, companies that were formerly shell companies continue to face disadvantages under SEC rules, including (a) limitations on its stockholders to receive unrestricted stock certificates and use the Rule 144 exemption,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and (e) exclusion from certain safe harbors for offering-related communications under the Securities Act for three years after ceasing to be a shell company, including for research reports and certain communications in connection with business combinations. For more information about Rule 144 and its potential impact on our stockholders, please see the section titled “</w:t>
      </w:r>
      <w:hyperlink w:anchor="s1_009">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in this Prospectus. We expect that these disadvantages will make it more challenging and expensive, and create greater risks and delays, for us and our stockholders to offer securities. These challenges may make our securities less attractive than those of companies that are not former shell companies and may raise our relative cost of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uplist to a national securities exchange within a reasonable period of time or at all, in which event investors’ ability to sell shares of our Common Stock will be materially hindered.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previously listed on The Nasdaq Global Market until it was delisted in March 2025 following our operational cessation in October 2024. Following a period of inactivity, we recently became current in our SEC filings by filing Quarterly Reports on Form 10-Qs and an Annual Report on Form 10-K for the fiscal periods from December 31, 2024 through September 30, 2025, and thereafter on June 16, 2026 our Common Stock became quoted on the OTCQB, a higher-tiered market operated by the OTC. Markets, Group, Inc. Subject to compliance with applicable initial listing standards, which as described below is subject to uncertainty, the Company intends to seek uplisting of its Common Stock on a national securities exchange such as an exchange operated by The Nasdaq Stock Market, LLC (as applicable, an “Exchange”).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initial listing standards and related rules and policies of the Exchanges and circumstances surrounding the Company and its Common Stock, the Company anticipates facing significant challenges in its ability to achieve uplisting to an Exchange in the near term. The initial listing standards each Exchange generally require certain minimum criteria be met with respect to the bid price, market capitalization and financial performance of the Company and its Common Stock. Further, given our operational cessation in 2024 we may be unable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In addition to the fact that given our current stock price this would require us to effect a reverse stock split in an effort to achieve that minimum price, there is substantial uncertainty as to our ability to maintain that minimum closing bid price for a prolonged period of time, particularly given our quotation on the OTCQB and the volatility of our stock price. We may be unable to successfully navigate or address these challenges, which could significantly delay or prevent us from uplisting to an Exchange. If the Company is unable to uplist to an Exchange, it would negatively impact both investors’ ability to sell their shares and the market for such shares, and the Company’s ability to raise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analysts do not publish research or reports about our business or if they publish negative evaluations of our Common Stock, the market price and trading volume of our Common Stock could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rely, in part, on the research and reports that industry or financial analysts publish about us or our business. We have limited research coverage by industry or financial analysts. If no, or few, additional analysts commence coverage of us, the trading price of our Common Stock would likely decrease.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stock price to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may authorize and issue shares of new series of preferred stock that could be superior to or adversely affect current holders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power to authorize and issue shares of classes of stock, including preferred stock that have voting powers, designations, preferences, limitations and special rights, including preferred distribution rights, conversion rights, redemption rights and liquidation rights without further stockholder approval which could adversely affect the rights of the holders of our Common Stock. In addition, our Board could authorize the issuance of a series of preferred stock that is convertible into our Common Stock, which could result in dilution to our existing Common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could significantly adversely affect the investment made by holders of our Common Stock. Holders of Common Stock could potentially not receive dividends that they might otherwise have received. In addition, holders of our Common Stock could receive less proceeds in connection with any future sale of the Company, in liquidation or on any other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incurring significant increased costs as a result of being a public company, and our management will be required to devote substantial time to new compliance initiatives.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incurred and will continue to incur significant legal, accounting and other expenses that Legacy Zapata did not incur as a private company. These expenses may increase even more after we are no longer an “emerging growth company.” Our management and other personnel will need to devote a substantial amount of time and incur significant expense in connection with compliance initiatives. For example, we will need to implement additional internal controls, both generally and to address the material weaknesses discussed in this Prospectus, and disclosure controls and procedures, retain a transfer agent and adopt an insider trading policy. As a public company, we bear all of the internal and external costs of preparing and distributing periodic public reports in compliance with our obligations under the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regulations and standards relating to corporate governance and public disclosure, including the Sarbanes-Oxley Act, and the related rules and regulations implemented by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we could be subject to the delisting of our Common Stock, fines, sanctions and other regulatory action, which may be harmful to its business.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its audit committee and compensation committee, and qualified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size, we have a limited management team, which has limited experience in operating a public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only have one executive officer, who acts as both our Chief Executive Officer and Chief Financial Officer, and has limited experience in the management of a publicly traded company. Until we are able to raise the capital to broaden our management, we may be handicapped in managing our business and our public company obligations. Executives’ limited experience in dealing with the increasingly complex laws pertaining to public companies could be a significant disadvantage as they will likely need to devote an increasing amount of their time to these activities, resulting in less time being devoted to our management and growth. We may not have adequate personnel with the appropriate level of knowledge, experience, and training in the accounting policies, practices or internal controls over financial reporting required of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cash dividends on our Common Stock, so any returns will be substantially limited to the value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current plans to pay any cash dividends on our Common Stock. The declaration, amount and payment of any future dividends on shares of our Common Stock will be at the sole discretion of our Board as well as restrictions imposed by the DGCL. We currently anticipate that we will retain future earnings for the development, operation and expansion of its business and do not anticipate declaring or paying any cash dividends from future earnings for the foreseeable future. In addition, our ability to pay dividends may be limited by covenants under indebtedness that we or our subsidiaries may incur in the future, or the terms of preferred stock, as well as other limitations and restrictions imposed by law. As a result, you may not receive any return on an investment in our Common Stock unless you sell our Common Stock at a greater price than that which you paid for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designates a state or federal court located within the State of Delaware as the exclusive forum for certain disputes between our stockholders and us, and also provides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to the selection of an alternative forum, the Court of Chancery of the State of Delaware will, to the fullest extent permitted by applicable law, be the sole and exclusive forum for any internal or intra-corporate claim or any action asserting a claim governed by the internal affairs doctrine, including, but not limited to, (i) any derivative action brought by a stockholder on our behalf, (ii) any claim of breach of a fiduciary duty owed by any of our directors, officers, stockholders, or employees and (iii) any claim against us arising under our Certificate of Incorporation, Bylaws or the DGCL. The Certificate of Incorporation designates the United States District Court for the District of Delaware as the exclusive forum for the resolution of any complaint asserting a cause of action arising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forum provision will not apply to claims under the Exchange Act, but will apply to other state and federal law claims including actions arising under the Securities Act.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may have the effect of increasing costs for investors to bring a claim against us and our directors and officers and of limiting a stockholder’s ability to bring a claim in a judicial forum that it finds favorable for disputes with us or any of our directors, officers, other employees or stockholders, which may discourage (but not prevent) lawsuits with respect to such claims.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our Certificate of Incorporation and Bylaws might discourage, delay or prevent a change in control of the Company or changes in our management and, therefore, depress the trading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Delaware corporation and the anti-takeover provisions of the DGCL may discourage, delay or prevent a change in control by prohibiting us from engaging in a business combination with an interested stockholder for a period of three years after the person becomes an interested stockholder without the approval of holders of two-thirds of the voting power of our stockholders other than the interested stockholder, even if a change of control would be beneficial to our existing stockholders. In addition, our Certificate of Incorporation and Bylaws contain provisions that may make the acquisition of the Company more difficult,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Board is classified into three classes of directors with staggered three-year terms, and directors can only be removed from office for cause (which is not defined) by the affirmative vote of holders of at least a majority of the voting power of our then-outstanding capital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certain amendments to our Certificate of Incorporation will require the approval of stockholders holding two-thirds of the voting power of its then-outstanding capital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stockholders will only be able to take action at a meeting of stockholders and will not be able to take action by written consent for any matter;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vacancies on our Board will be able to be filled only by our Board and not by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certain litigation against us can only be brought in Delaware;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Certificate of Incorporation authorizes undesignated preferred stock, the terms of which may be established by our Board, which shares may be issued without the approval of the holders of our capital stock;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advance notice procedures apply for stockholders to nominate candidates for election as directors or to bring matters before an annual meeting of stockholders.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defenses could discourage, delay, or prevent a transaction involving a change in control of the Company. These provisions could also discourage proxy contests and make it more difficult for stockholders to elect directors of their choosing or to cause us to take other corporate actions they desire, any of which, under certain circumstances, could limit the opportunity for our stockholders to receive a premium for their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earlier of (1) the last day of the fiscal year (a) following the fifth anniversary of the completion of our initial public offering, (b) in which we have total annual gross revenue of over $1.235 billion or (c) in which we are deemed to be a large accelerated filer, which means the market value of our Common Stock held by non-affiliates exceeds $700 million as of the last business day of the second fiscal quarter of such year and (2) 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are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any non-voting Common Stock held by non-affiliates is less than $250 million measured on the last business day of our second fiscal quarter, or our annual revenue is less than $100 million during the most recently completed fiscal year and the market value of our voting and any non-voting Common Stock held by non-affiliates was less than $700 million measured on the last business day of our second fiscal quarter. To the extent we take advantage of such reduced disclosure obligations, it may also make comparison of our financial statements with other public companies difficult or impossible.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s1_007"/>
      <w:bookmarkEnd w:id="22"/>
      <w:r>
        <w:rPr>
          <w:rFonts w:ascii="Times New Roman;Times;Serif" w:hAnsi="Times New Roman;Times;Serif"/>
          <w:b/>
          <w:i w:val="false"/>
          <w:caps w:val="false"/>
          <w:smallCaps w:val="false"/>
          <w:sz w:val="20"/>
        </w:rPr>
        <w:t>THE PRIVATE PLACEMENTS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overview of the private placement transactions in which the Selling Stockholders participated and pursuant to which the Selling Stockholders received the shares of Common Stock, or Convertible Securities pursuant to which shares of Common Stock are issuable, to which the registration statement of which this Prospectus forms a part relates and certain rights incident thereto.</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D Convertible Preferred Stock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$15,000,000.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offering, the Company entered into a Securities Purchase Agreement and Registration Rights Agreement with the investors. Pursuant to the Registration Rights Agreement, the Company agreed to file a registration statement registering the resale of the shares of Common Stock underlying the Series D and Warrants by June 22, 2026 and to cause it to become effective by August 21, 2026, subject to the terms and conditions set forth therein. The registration statement of which this Prospectus is a part is being filed in connection with these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engaged placement agents to assist with the offering. The compensation for the placement agents consists of: (i) the issuance of warrants to purchase an amount of common stock equal to 2% of the shares of common stock issuable upon conversion of the Series D, which resulted in </w:t>
      </w:r>
      <w:r>
        <w:rPr>
          <w:rFonts w:ascii="Times New Roman;Times;Serif" w:hAnsi="Times New Roman;Times;Serif"/>
          <w:b w:val="false"/>
          <w:i w:val="false"/>
          <w:caps w:val="false"/>
          <w:smallCaps w:val="false"/>
          <w:sz w:val="20"/>
          <w:shd w:fill="FFFFFF" w:val="clear"/>
        </w:rPr>
        <w:t xml:space="preserve">683,215 Financing Activity Warrants issued to the placement agents in the offering </w:t>
      </w:r>
      <w:r>
        <w:rPr>
          <w:rFonts w:ascii="Times New Roman;Times;Serif" w:hAnsi="Times New Roman;Times;Serif"/>
          <w:b w:val="false"/>
          <w:i w:val="false"/>
          <w:caps w:val="false"/>
          <w:smallCaps w:val="false"/>
          <w:sz w:val="20"/>
        </w:rPr>
        <w:t>and (ii) a cash fee equal to 6% of the gross proceeds received by the Company in the offering. The Financing Activity Warrants issued to the placement agents are included in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bookmarkStart w:id="23" w:name="conversionags"/>
      <w:bookmarkEnd w:id="23"/>
      <w:r>
        <w:rPr>
          <w:rFonts w:ascii="Times New Roman;Times;Serif" w:hAnsi="Times New Roman;Times;Serif"/>
          <w:b w:val="false"/>
          <w:i w:val="false"/>
          <w:caps w:val="false"/>
          <w:smallCaps w:val="false"/>
          <w:sz w:val="20"/>
          <w:u w:val="single"/>
        </w:rPr>
        <w:t>Conversion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12, 2025 through June 18, 2025, the Company entered into Conversion Agreements (the “Conversion Agreements”) with certain creditors of the Company under which such creditors agreed to exchange a total of $10,100,256 of accounts payable and other liabilities to such creditors in exchange for the Company’s issuance of 27,330,000 shares of the Company’s Common Stock to such creditors. In addition, two of these creditors will be receiving convertible preferred stock in lieu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series of Conversion Agreements with certain creditors. Pursuant to the Conversion Agreements, certain creditors agreed to exchange $4,429,000 of accounts payable and accrued expenses for the issuance of 11,983 shares of the Company’s Series C Convertible Preferred Stock, which subject to beneficial ownership limitations, are convertible into 11,983,000 shares of Common Stock</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issued a total of 11,983 shares of the Company’s Series C Convertible Preferred Stock (convertible into 11,983,000 shares of Common Stock) with a fair value of $12 to two creditors in settlement of $4,429,000 of accounts payable and accrued expenses pursuant to the Conversion Agreements As a result of the issuance of the Series C Convertible preferred stock, the Company recognized a gain on extinguishment of liabilities of $4,417,000.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bookmarkStart w:id="24" w:name="s1_029"/>
      <w:bookmarkEnd w:id="24"/>
      <w:r>
        <w:rPr>
          <w:rFonts w:ascii="Times New Roman;Times;Serif" w:hAnsi="Times New Roman;Times;Serif"/>
          <w:b w:val="false"/>
          <w:i w:val="false"/>
          <w:caps w:val="false"/>
          <w:smallCaps w:val="false"/>
          <w:sz w:val="20"/>
          <w:u w:val="single"/>
        </w:rPr>
        <w:t>Universal Resale and Registration Provisions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Agreements described above as well as certain other transactions which occurred in 2025, the Company and counterparties who received common stock or derivative securities entered into the Resale Provisions pursuant to which such recipients agreed to certain lock-up provisions restricting and limiting their sale, transfer, pledge, or disposal of any shares of common stock held by or issuable to such recipients for a period ending 12 months following the date of a resale registration statement with respect to the common stock comprising or underlying such securities is declared effective by the SEC (such period, the Lock-Up Period). The Resale Provisions provide that up to 10% of each holder’s shares may be sold or transferred during the first 90 days following such effective date, and up to 25% of such holder’s shares may be sold or transferred in each subsequent 90 day period thereafter for the remainder of the Lock-Up Period; and that during each of the third and fourth ninety 90 day periods referred to above, each holder may sell or transfer up to an additional 10% of its shares, but only to the extent such amount represents shares that were eligible for sale or transfer in prior periods but were not sold or transferred by such holder. The Resale Provisions also contains certain additional limitations and exceptions with respect to such lock-up provisions, including a volume limitation on the holders’ sales of shares pursuant to which the holders collectively may not sell more than 10% of the shares in a given trading day, and the cessation of the Lock-Up Period and termination of such lock-up provisions if certain events do not occur within a specified time and as more particularly set forth therein.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Resale Provisions the Company also agreed to provide the holders with registration rights pursuant to which, if the Company closes a securities offering resulting in gross proceeds of at least $5 million, the holders shall have “piggy back” registration rights for the inclusion for resale of their shares to be registered on any subsequent registration statement filed with the SEC in connection with such offering. The Company also agreed to file a registration statement for the holders’ sales of shares within 180 days after the Company makes the requisite filings under the Securities Exchange Act of 1934, and prepares the requisite audited and unaudited financial statements, as applicable, to become eligible to file a resale registration statement, and to cause such registration statement to be declared effective within 90 days thereafter. The Company also agreed to provide the holders with certain indemnification rights in connection with such registration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is a part is being filed in connection with these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offers and sales of the securities described above were exempt from registration pursuant to Section 4(a)(2) of the Securities Act of 1933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For additional information on the securities described above,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1_008"/>
      <w:bookmarkEnd w:id="2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our Common Stock being offered for sale by the Selling Stockholders. Upon the exercise of the Warrants, assuming all such exercises are cash exercises, we will receive the exercise price of the Warrants. We will bear all fees and expenses incident to our obligation to register the shares of Common Stock. Brokerage fees, commissions and similar expenses, if any, attributable to the sale of shares offered hereby will be borne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the Warrants will be exercised for cash. We intend to use such proceeds, if any, for general corporate and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1_009"/>
      <w:bookmarkEnd w:id="2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shares of Common Stock to which the registration statement of which this Prospectus is a part relates, and any of their pledgees, assignees and successors-in-interest may, from time to time, sell any or all of shares of Common Stock covered hereby on the principal trading market of the Common Stock or any other stock exchange, market or trading facility on which the securities are traded or in private transactions. These sales may be at fixed or negotiated prices. A Selling Stockholder may use any one or more of the following methods when selling shares of Common Stock:</w:t>
      </w:r>
    </w:p>
    <w:p>
      <w:pPr>
        <w:pStyle w:val="TextBody"/>
        <w:bidi w:val="0"/>
        <w:spacing w:before="0" w:after="0"/>
        <w:ind w:left="72" w:right="72"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settlement of short sales;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 combination of any such methods of sale;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s1_029">
        <w:r>
          <w:rPr>
            <w:rStyle w:val="InternetLink"/>
            <w:rFonts w:ascii="Times New Roman;Times;Serif" w:hAnsi="Times New Roman;Times;Serif"/>
            <w:b w:val="false"/>
            <w:i w:val="false"/>
            <w:caps w:val="false"/>
            <w:smallCaps w:val="false"/>
            <w:sz w:val="20"/>
          </w:rPr>
          <w:t>The Private Placements – Universal Resale and Registration Provisions</w:t>
        </w:r>
      </w:hyperlink>
      <w:r>
        <w:rPr>
          <w:rFonts w:ascii="Times New Roman;Times;Serif" w:hAnsi="Times New Roman;Times;Serif"/>
          <w:b w:val="false"/>
          <w:i w:val="false"/>
          <w:caps w:val="false"/>
          <w:smallCaps w:val="false"/>
          <w:sz w:val="20"/>
        </w:rPr>
        <w:t>” at page 41.</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available, rather than under this prospectus.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all states but New York,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s1_010"/>
      <w:bookmarkEnd w:id="27"/>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retain any earnings for the foreseeable future for our operations. We have never paid any dividends on our Common Stock and do not anticipate paying any cash dividends in the foreseeable future. Our Board of Directors will determine our future dividend policy on the basis of many factors, including results of operations, capital requirements, general business conditions, and whether dividends are payable by us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terms of the Series D we issued in April 2026 precludes us from paying dividends to holders of our Common Stock or other securities without the prior consent of the holders of a majority the Series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1_011"/>
      <w:bookmarkEnd w:id="28"/>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is a leading pure-play hardware-agnostic quantum software company. Following a strategic realignment in 2025, the Company offers subscription-based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software platform for quantum computing applications is based on our patented technology and supports a wide range of use cases in cryptography, pharmaceuticals, manufacturing, materials discovery and defense. To the Company’s knowledge, it is the only organization to have participated across all technical areas of the Defense Advanced Research Projects Agency’s (“DARPA”)’s Quantum Benchmarking program and it has worked with Fortune 500 enterprises and government agencies to unlock the potential of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scaling operations, the Company has also entered into advisory agreements with third parties and agreed to compensate such parties in the form of equity and/or cash compensation. Additionally, following the restructuring and financings completed in 2025 and 2026, the Company resumed active operations and rehired key personnel.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Throughout the following discussion, amounts are provided in thousands, except for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historically was generated primarily from sales of subscriptions to our software platform and related services. Subscriptions to our software platform are offered as stand-ready access to our cloud environment on an annual or multi-year basis. We may also offer consulting services in the form of stand-ready scientific and software engineering services, which are typically only offered in conjunction with our software platform. We evaluate our contracts at inception to determine if the terms represent a single, combined performance obligation or multiple performance obligations. We generated no revenue in each of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includes expenses related to supporting product offerings. Our primary cost of revenue is personnel costs, including salaries and other personnel-related expense. Cost of revenue also includes costs relating to our information technology and systems, including depreciation, network costs, data center maintenance, database management and data processing costs. We allocate these overhead expenses based on headcount and thus are reflected in cost of revenue and each operating expense category.</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personnel-related costs, including salaries and wages, benefits, commissions, bonuses and stock-based compensation expense for our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 Sales and marketing expenses are primarily driven by investments in the growth of our business. We expect sales and marketing expenses, expressed as a percentage of revenue, to vary from period to period for the foreseeable future.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including salaries and wages, benefits, bonuses, and stock-based compensation expense for our scientists, engineers and other employees engaged in the research and development of our products. In addition, research and development expenses include third party software subscription costs, facilities and other supporting overhead costs, including depreciation and amortization. Research and development costs are expensed as incurred.</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including salaries and wages, bonuses, benefits, and stock-based compensation expense for our finance, legal, information technology, human resources, and other administrative personnel. General and administrative expenses also include facilities and supporting overhead costs, including depreciation and amortization, and external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consists primarily of fair value adjustments related to our Senior Secured Notes and derivative contract in connection with our Forward Purchase Agreement, interest income, interest expense and foreign exchange gains and losses from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2026 compared to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March 31, 2026 and 2025:</w:t>
      </w:r>
    </w:p>
    <w:tbl>
      <w:tblPr>
        <w:tblW w:w="7831" w:type="dxa"/>
        <w:jc w:val="left"/>
        <w:tblInd w:w="0" w:type="dxa"/>
        <w:tblLayout w:type="fixed"/>
        <w:tblCellMar>
          <w:top w:w="0" w:type="dxa"/>
          <w:left w:w="0" w:type="dxa"/>
          <w:bottom w:w="0" w:type="dxa"/>
          <w:right w:w="0" w:type="dxa"/>
        </w:tblCellMar>
      </w:tblPr>
      <w:tblGrid>
        <w:gridCol w:w="2705"/>
        <w:gridCol w:w="60"/>
        <w:gridCol w:w="304"/>
        <w:gridCol w:w="1382"/>
        <w:gridCol w:w="206"/>
        <w:gridCol w:w="130"/>
        <w:gridCol w:w="304"/>
        <w:gridCol w:w="990"/>
        <w:gridCol w:w="95"/>
        <w:gridCol w:w="60"/>
        <w:gridCol w:w="191"/>
        <w:gridCol w:w="624"/>
        <w:gridCol w:w="95"/>
        <w:gridCol w:w="60"/>
        <w:gridCol w:w="60"/>
        <w:gridCol w:w="45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173</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235</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1,197</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r>
              <w:rPr/>
              <w:t>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(1,197</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w:t>
            </w:r>
          </w:p>
        </w:tc>
      </w:tr>
      <w:tr>
        <w:trPr/>
        <w:tc>
          <w:tcPr>
            <w:tcW w:w="270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(132</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20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CCEEFF" w:val="clear"/>
            <w:tcMar>
              <w:bottom w:w="28" w:type="dxa"/>
            </w:tcMar>
            <w:vAlign w:val="center"/>
          </w:tcPr>
          <w:p>
            <w:pPr>
              <w:pStyle w:val="TableContents"/>
              <w:bidi w:val="0"/>
              <w:spacing w:before="0" w:after="283"/>
              <w:jc w:val="right"/>
              <w:rPr/>
            </w:pPr>
            <w:r>
              <w:rPr/>
              <w:t>(113</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2"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06"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(770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Sales and Marketing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$173 thousand for the three months ended March 31, 2026, as compared to $0 for the three months ended March 31, 2025. The increase reflects an increase in employee compensation costs, marketing expenses, and stock-based compensation expense.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$235 thousand for the three months ended March 31, 2026, as compared to $0 for the three months ended March 31, 2025. The increase reflects an increase in employee compensation costs, advisor fees,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$789 thousand for the three months ended March 31, 2026, compared to $680 thousand for the three months ended March 31, 2025. The increase of $109 thousand reflects an increase in stock-based compensation expenses. Current-quarter expenses mainly consisted of insurance, software costs, salaries and benefits, and legal and professional fees, including $126 thousand of legal expenses related to our intellectual property.</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Expense, Net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$113 thousand for the three months ended March 31, 2026, compared to $90 thousand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Provision for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provision for income taxes during each of the three months ended March 31, 2026 and March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fiscal year ended December 31, 2025, compared to the fiscal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Years Ended December 31, 2025 and 2024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2024:</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90"/>
        <w:gridCol w:w="60"/>
        <w:gridCol w:w="188"/>
        <w:gridCol w:w="918"/>
        <w:gridCol w:w="128"/>
        <w:gridCol w:w="80"/>
        <w:gridCol w:w="188"/>
        <w:gridCol w:w="1019"/>
        <w:gridCol w:w="95"/>
        <w:gridCol w:w="60"/>
        <w:gridCol w:w="140"/>
        <w:gridCol w:w="755"/>
        <w:gridCol w:w="95"/>
        <w:gridCol w:w="60"/>
        <w:gridCol w:w="60"/>
        <w:gridCol w:w="455"/>
        <w:gridCol w:w="114"/>
      </w:tblGrid>
      <w:tr>
        <w:trPr/>
        <w:tc>
          <w:tcPr>
            <w:tcW w:w="5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4"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283"/>
              <w:jc w:val="left"/>
              <w:rPr/>
            </w:pPr>
            <w:r>
              <w:rPr/>
              <w:t>Revenue ($0 and $1,300 from related parties, respectively)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3,876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3,241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790" w:type="dxa"/>
            <w:tcBorders/>
            <w:shd w:fill="CCEEFF" w:val="clear"/>
            <w:vAlign w:val="center"/>
          </w:tcPr>
          <w:p>
            <w:pPr>
              <w:pStyle w:val="TableContents"/>
              <w:bidi w:val="0"/>
              <w:spacing w:before="0" w:after="283"/>
              <w:jc w:val="left"/>
              <w:rPr/>
            </w:pPr>
            <w:r>
              <w:rPr/>
              <w:t>Sales and marketing ($0 and $2,873 from related parties, respectively)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267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7,120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(96</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252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(94</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2,907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12,141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(76</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3,426</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23,681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(267</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(3,426</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(23,046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114" w:type="dxa"/>
            <w:tcBorders/>
            <w:shd w:fill="CCEEFF" w:val="clear"/>
            <w:vAlign w:val="center"/>
          </w:tcPr>
          <w:p>
            <w:pPr>
              <w:pStyle w:val="TableContents"/>
              <w:bidi w:val="0"/>
              <w:spacing w:before="0" w:after="283"/>
              <w:jc w:val="left"/>
              <w:rPr/>
            </w:pPr>
            <w:r>
              <w:rPr/>
              <w:t> </w:t>
            </w:r>
          </w:p>
        </w:tc>
      </w:tr>
      <w:tr>
        <w:trPr/>
        <w:tc>
          <w:tcPr>
            <w:tcW w:w="579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(513</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(47</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790" w:type="dxa"/>
            <w:tcBorders/>
            <w:shd w:fill="FFFFFF" w:val="clear"/>
            <w:vAlign w:val="center"/>
          </w:tcPr>
          <w:p>
            <w:pPr>
              <w:pStyle w:val="TableContents"/>
              <w:bidi w:val="0"/>
              <w:spacing w:before="0" w:after="283"/>
              <w:jc w:val="left"/>
              <w:rPr/>
            </w:pPr>
            <w:r>
              <w:rPr/>
              <w:t>Loss on issuance of forward purchase agreement</w:t>
              <w:br/>
              <w:t>derivative liability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790" w:type="dxa"/>
            <w:tcBorders/>
            <w:shd w:fill="CCEEFF" w:val="clear"/>
            <w:vAlign w:val="center"/>
          </w:tcPr>
          <w:p>
            <w:pPr>
              <w:pStyle w:val="TableContents"/>
              <w:bidi w:val="0"/>
              <w:spacing w:before="0" w:after="283"/>
              <w:jc w:val="left"/>
              <w:rPr/>
            </w:pPr>
            <w:r>
              <w:rPr/>
              <w:t>Change in fair value of forward purchase agreement derivative liability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790" w:type="dxa"/>
            <w:tcBorders/>
            <w:shd w:fill="FFFFFF" w:val="clear"/>
            <w:vAlign w:val="center"/>
          </w:tcPr>
          <w:p>
            <w:pPr>
              <w:pStyle w:val="TableContents"/>
              <w:bidi w:val="0"/>
              <w:spacing w:before="0" w:after="283"/>
              <w:jc w:val="left"/>
              <w:rPr/>
            </w:pPr>
            <w:r>
              <w:rPr/>
              <w:t>Change in fair value and loss on issuance of notes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(9,776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790" w:type="dxa"/>
            <w:tcBorders/>
            <w:shd w:fill="CCEEFF" w:val="clear"/>
            <w:vAlign w:val="center"/>
          </w:tcPr>
          <w:p>
            <w:pPr>
              <w:pStyle w:val="TableContents"/>
              <w:bidi w:val="0"/>
              <w:spacing w:before="0" w:after="283"/>
              <w:jc w:val="left"/>
              <w:rPr/>
            </w:pPr>
            <w:r>
              <w:rPr/>
              <w:t>Loss on extinguishment of senior secured notes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(134</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790" w:type="dxa"/>
            <w:tcBorders/>
            <w:shd w:fill="FFFF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2,357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79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9,117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790" w:type="dxa"/>
            <w:tcBorders/>
            <w:shd w:fill="FFFFFF" w:val="clear"/>
            <w:vAlign w:val="center"/>
          </w:tcPr>
          <w:p>
            <w:pPr>
              <w:pStyle w:val="TableContents"/>
              <w:bidi w:val="0"/>
              <w:spacing w:before="0" w:after="283"/>
              <w:jc w:val="left"/>
              <w:rPr/>
            </w:pPr>
            <w:r>
              <w:rPr/>
              <w:t>Gain on forbearance agreement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1,887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79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(1,903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12,762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(15,077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(185</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Net income (loss) before income taxes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9,336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(38,123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(124</w:t>
            </w:r>
          </w:p>
        </w:tc>
        <w:tc>
          <w:tcPr>
            <w:tcW w:w="114" w:type="dxa"/>
            <w:tcBorders/>
            <w:shd w:fill="CCEEFF" w:val="clear"/>
            <w:vAlign w:val="center"/>
          </w:tcPr>
          <w:p>
            <w:pPr>
              <w:pStyle w:val="TableContents"/>
              <w:bidi w:val="0"/>
              <w:spacing w:before="0" w:after="283"/>
              <w:jc w:val="left"/>
              <w:rPr/>
            </w:pPr>
            <w:r>
              <w:rPr/>
              <w:t>)</w:t>
            </w:r>
          </w:p>
        </w:tc>
      </w:tr>
      <w:tr>
        <w:trPr/>
        <w:tc>
          <w:tcPr>
            <w:tcW w:w="579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jc w:val="left"/>
              <w:rPr/>
            </w:pPr>
            <w:r>
              <w:rPr/>
              <w:t>)</w:t>
            </w:r>
          </w:p>
        </w:tc>
      </w:tr>
      <w:tr>
        <w:trPr/>
        <w:tc>
          <w:tcPr>
            <w:tcW w:w="579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pPr>
            <w:r>
              <w:rPr/>
              <w:t>9,336</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(38,143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47,478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(124</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$0 for the year ended December 31, 2025, as compared to $3.9 million for the year ended December 31, 2024 The decrease reflects the Operational Cessation.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 of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$0 for the year ended December 31, 2025, as compared to $3.2 million for the year ended December 31, 2024. The decrease reflects the Operational Cessation.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Sales and Marketing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$0.3 million for the year ended December 31, 2025, as compared to $7.1 million for the year ended December 31, 2024. The decrease reflects the Operational Cessation.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$0.3 million for the year ended December 31, 2025, as compared to $4.4 million for the year ended December 31, 2024. The decrease reflects the Operational Cessation.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$2.9 million for the year ended December 31, 2025, compared to $12.1 million for the year ended December 31, 2024. The decrease of $9.2 million reflects the Operational Cessation. Expenses for the current period mainly consisted of insurance, software costs, salaries and benefits for remaining personnel, and legal and professional fees, including $0.1 million of legal expenses related to our 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we sustained an operating loss of $3.4 million compared to $23.0 million in the prior year. The difference was due to the Operation Cessation.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Income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$12.7 million for the year ended December 31, 2025, compared to other expense, net of $15.1 million for the year ended December 31, 2024. The $27.8 million favorable variance was primarily attributable to the nonrecurrence in the current period of the following prior period charges which were non-cash: (i) $9.8 million loss related to the issuance of Senior Secured Notes, (ii) a $4.9 million loss on issuance of Forward Purchase Agreement, and (iii) $1.8 million in transaction costs incurred related to the Lincoln Park Purchase Agreement, partially offset by a $2.4 million gain resulting from the change in fair value of the Forward Purchase Agreement. Additionally, interest expense decreased by $0.5 million, primarily due to the conversion of a majority of the Senior Notes to equity upon closing of the merger in the first quarter of 2024.</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year ended December 31, 2025 includes a $2.4 million gain on extinguishment of the Forward Purchase Agreement liability, a $9.1 million gain on extinguishment of liabilities, a $1.9 million gain on forbearance agreement, partially offset by $0.5 million of interest expense, and a $0.1 million loss on extinguishment of Senior Secured Note.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Provision for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provision for income taxes during the year ended December 31, 2025. The provision for income taxes during the year ended December 31, 2024 was not material and was related to our foreign operations.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with proceeds from sales of Convertible Preferred Stock and Common Stock and the issuance of Convertible Notes. For the three months ended March 31, 2026, we recorded a net loss of $1.3 million, used cash in operations of $1 million and had a stockholders’ deficit of $9.4 million as of that date. As of March 31, 2026, we had a cash balance of $642. Cash used in operations was primarily from the Company’s operating losses, working capital, and investment in strategic growth initiatives. We have incurred significant losses and negative cash flows from operations since inception and expects to continue to incur losses and negative cash flows for the foreseeable future as we expand our penetration of the quantum computing application development market.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business combination, the Company had substantial near-term liquidity needs. As disclosed in the Company's Quarterly Report on Form 10-Q for the quarter ended March 31, 2024, the Company had total liabilities of $30.9 million, including $23.1 million of current liabilities, compared to total assets of $9.9 million, including $7.3 million of cash. As a result, the Company required additional financing to satisfy its obligations and continue operations. The Company's suspension of operations resulted primarily from its overall liquidity constraints and inability to obtain sufficient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we had approximately $13.2 million in cash. We expect our existing cash will be sufficient to fund our current operating plan for at least twelve months from the date of the issuance of our most recent financial statements and our audit opinion contains a going concern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Material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 April 2026, the Company raised a total of $15,000 from the sale of Series D and Warrants.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 2025, we raised $1,500 through the sale of Series A Convertible Preferred Stock.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caps w:val="false"/>
          <w:smallCaps w:val="false"/>
        </w:rPr>
        <w:t> </w:t>
      </w:r>
      <w:r>
        <w:rPr>
          <w:rFonts w:ascii="Times New Roman;Times;Serif" w:hAnsi="Times New Roman;Times;Serif"/>
          <w:b w:val="false"/>
          <w:i w:val="false"/>
          <w:caps w:val="false"/>
          <w:smallCaps w:val="false"/>
          <w:sz w:val="20"/>
        </w:rPr>
        <w:t>In June 2025, we entered into a securities purchase agreement with accredited investors pursuant to which we sold and issued secured convertible Notes and Warrants (the “2025 Warrants”).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 The convertible Notes bear simple interest at a rate of 10.00% per annum and mature on June 12, 2026, unless earlier converted or repaid in accordance with its terms. Interest accrues daily based on a 360-day year and will not be paid in cash prior to maturity unless the Notes are repaid before conversion. The maturity date of these Notes was extended to June 12, 2027.</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Secured Notes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Notes bear interest at the compound rate of 15% per annum and are convertible at the option of each noteholder in connection with the Merger at a conversion price of (i) $4.50 per share at the closing of the Merger or (ii) $8.50 per share at any time after the closing of the Merger. The outstanding principal amount of the Senior Secured Notes and all accrued but unpaid interest will be due and payable at the maturity date, December 15, 2026, unless otherwise converted. Upon the closing of the Merger, a portion of the aggregate outstanding Senior Secured Notes with an aggregate principal amount of $14,200 and associated accrued interest of $0.5 million were converted into shares of our Common Stock. While any Senior Secured Notes are outstanding, we cannot incur additional indebtedness for borrowed funds, except additional Senior Secured Notes, substantially similar notes or other debt instruments that are pari passu with or subordinate to the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Forbearance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$45,000 and $55,000, respectively, in aggregate proceeds. If the specified financing thresholds are not achieved, the corresponding contingent payments will not become due, and the related obligations will be permanently extinguished.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material long-term obligations; its material obligations consist of the following short-term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Accounts payable totaled approximately $4.1 million as of March 31, 2026. Approximately $1.9 million is subject to a forbearance agreement under which creditors have agreed to temporarily forbear from collection, and such obligations may be permanently extinguished if specified financing thresholds are not achieved.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Accrued expenses and other current liabilities totaled approximately $1.5M as of March 31, 2026. See Note 3 to the Financial Statements for a detailed breakdown of these balances.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Other liabilities totaled approximately $0.4 million as of March 31, 2026, consisting entirely of deferred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Senior secured notes totaled approximately $1.3 million as of March 31, 2026. The maturity date for these notes is December 15, 2026. See Note 4 to the Financial Statements for further detail.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Convertible promissory notes totaled approximately $3.2 million as of March 31, 2026. The maturity date on these notes has been extended to June 12, 2027. See Note 4 to the Financial Statements for further detail.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the Company has contingent obligations of approximately $1.9 million, which become partially payable upon the completion of capital-raising transactions generating aggregate proceeds of at least $45.0 million, and fully payable upon the completion of capital-raising transactions generating aggregate proceeds of at least $55.0 million. If the specified financing thresholds are not achieved, the corresponding contingent payments will not become due, and the related obligations will be permanently extinguished.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Quarters Ended March 31, 2026 and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each of the three months ended March 31, 2026 and 2025:</w:t>
      </w:r>
    </w:p>
    <w:tbl>
      <w:tblPr>
        <w:tblW w:w="7316" w:type="dxa"/>
        <w:jc w:val="left"/>
        <w:tblInd w:w="0" w:type="dxa"/>
        <w:tblLayout w:type="fixed"/>
        <w:tblCellMar>
          <w:top w:w="0" w:type="dxa"/>
          <w:left w:w="0" w:type="dxa"/>
          <w:bottom w:w="0" w:type="dxa"/>
          <w:right w:w="0" w:type="dxa"/>
        </w:tblCellMar>
      </w:tblPr>
      <w:tblGrid>
        <w:gridCol w:w="3830"/>
        <w:gridCol w:w="60"/>
        <w:gridCol w:w="330"/>
        <w:gridCol w:w="1500"/>
        <w:gridCol w:w="224"/>
        <w:gridCol w:w="141"/>
        <w:gridCol w:w="330"/>
        <w:gridCol w:w="791"/>
        <w:gridCol w:w="110"/>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4"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(999</w:t>
            </w:r>
          </w:p>
        </w:tc>
        <w:tc>
          <w:tcPr>
            <w:tcW w:w="224"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224" w:type="dxa"/>
            <w:tcBorders/>
            <w:shd w:fill="FFFFFF" w:val="clear"/>
            <w:vAlign w:val="center"/>
          </w:tcPr>
          <w:p>
            <w:pPr>
              <w:pStyle w:val="TableContents"/>
              <w:bidi w:val="0"/>
              <w:spacing w:before="0" w:after="283"/>
              <w:jc w:val="left"/>
              <w:rPr/>
            </w:pPr>
            <w:r>
              <w:rPr/>
              <w:t>)</w:t>
            </w:r>
          </w:p>
        </w:tc>
        <w:tc>
          <w:tcPr>
            <w:tcW w:w="141"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(1,017</w:t>
            </w:r>
          </w:p>
        </w:tc>
        <w:tc>
          <w:tcPr>
            <w:tcW w:w="224"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Activities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$1.0 million for the three months ended March 31, 2026. Operating cash flows reflected a net loss of $1.3 million, partially offset by $370 thousand in non-cash charges. Non-cash charges included $132 thousand in non-cash interest expense, and $238 thousand in stock-based compensation. Changes in working capital was driven by a $51 thousand decrease in prepaid expenses and other current and non-current assets, a $106 thousand increase in accounts payable, and a decrease of $217 thousand in accrued expenses and other current liabilities and other non-current liabilities.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$59 thousand for the three months ended March 31, 2025. Operating cash flows reflected a net loss of $0.8 million, partially offset by $569 thousand in non-cash charges and a $142 thousand net change in working capital. Non-cash charges included $525 thousand in non-cash interest expense, and $44 thousand in stock-based compensation. Changes in working capital was driven by a $48 thousand increase in accounts payable and a $94 thousand decrease in prepaid expenses and other current and non-current assets.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cash flows from investing activities during each of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cash flows from financing activities during each of the three months ended March 31, 2026 and March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Fiscal Years Ended December 31, 2025 and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the years ended December 31, 2025 and 2024:</w:t>
      </w:r>
    </w:p>
    <w:p>
      <w:pPr>
        <w:pStyle w:val="TextBody"/>
        <w:bidi w:val="0"/>
        <w:spacing w:before="0" w:after="0"/>
        <w:ind w:left="0" w:right="0" w:firstLine="554"/>
        <w:jc w:val="both"/>
        <w:rPr>
          <w:caps w:val="false"/>
          <w:smallCaps w:val="false"/>
        </w:rPr>
      </w:pPr>
      <w:r>
        <w:rPr>
          <w:caps w:val="false"/>
          <w:smallCaps w:val="false"/>
        </w:rPr>
        <w:t> </w:t>
      </w:r>
    </w:p>
    <w:tbl>
      <w:tblPr>
        <w:tblW w:w="10182" w:type="dxa"/>
        <w:jc w:val="left"/>
        <w:tblInd w:w="0" w:type="dxa"/>
        <w:tblLayout w:type="fixed"/>
        <w:tblCellMar>
          <w:top w:w="0" w:type="dxa"/>
          <w:left w:w="0" w:type="dxa"/>
          <w:bottom w:w="0" w:type="dxa"/>
          <w:right w:w="0" w:type="dxa"/>
        </w:tblCellMar>
      </w:tblPr>
      <w:tblGrid>
        <w:gridCol w:w="7295"/>
        <w:gridCol w:w="60"/>
        <w:gridCol w:w="208"/>
        <w:gridCol w:w="946"/>
        <w:gridCol w:w="141"/>
        <w:gridCol w:w="89"/>
        <w:gridCol w:w="208"/>
        <w:gridCol w:w="1125"/>
        <w:gridCol w:w="110"/>
      </w:tblGrid>
      <w:tr>
        <w:trPr/>
        <w:tc>
          <w:tcPr>
            <w:tcW w:w="7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(1,665</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(18,108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3,018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both"/>
              <w:rPr/>
            </w:pPr>
            <w:r>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both"/>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1,300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(3,110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$1.7 million for the year ended December 31, 2025. Operating cash flows reflected net income of $9.4 million and a $1.4 million net increase in working capital, partially offset by $12.4 million in net non-cash charges. Changes in working capital were primarily driven by a $1.0 million increase in accrued expenses and other current liabilities, and a $0.2 million increase in accounts payable. Non-cash charges included $9.1 million gain on extinguishment of liabilities, a $2.4 million gain on extinguishment of Forward Purchase Agreement settlement liability, and a $1.9 million gain on forbearance agreement, partially offset by $0.5 million in non-cash interest expense, $0.3 million in stock-based compensation and $0.1 million loss on extinguishment of Senior Secured Note. As previously disclosed, we ceased operations in October 2024, resulting in limited activities during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$18.1 million for the year ended December 31, 2024. The factors affecting our operating cash flows during this period were our net loss of $38.1 million, partially offset by a net change in our operating assets and liabilities of $3.8 million and non-cash charges of $16.3 million. The non-cash charges primarily consisted of $9.8 million in the loss on issuance of Senior Secured Notes, $4.9 million in the loss on the forward purchase contract, $2.0 million in equity line of credit commitment expense, $0.9 million in non-cash interest expense, $0.6 million in stock-based compensation expense, $0.2 million in non-cash vendor payments, $0.2 million in non-cash lease expense, $0.1 million in depreciation and amortization expense and $0.1 million loss on fixed assets disposal, partially offset by $2.5 million in change in fair value of forward purchase contract. The change in operating assets and liabilities was driven by a $7.1 million increase in accounts payable, $2.4 million increase in Forward Purchase Agreement Settlement obligation and $0.1 million increase in deferred revenue, partially offset by a $4.3 million decrease in accrued expenses and other current liabilities and other non-current liabilities, a $0.7 million decrease in deferred legal fees, a $0.5 million increase in prepaid expenses and other current and non-current assets, a $0.3 million decrease in operating lease liabilities and a $0.1 million increase in accounts receivable. The increase in accounts payable was primarily due to higher transaction costs and the delayed vendor and sponsorship payments following the Operational Cessation in the fourth quarter of 2024. The Forward Purchase Agreement Settlement obligation was related to the acceleration of the Valuation Date, requiring recognition of $2.4 million liability in the fourth quarter of 2024. The increase in deferred revenue is due to the timing of billings related to customer contracts and revenue recognition under customer contracts. The decrease in accrued expenses and other current liabilities and other non-current liabilities was primarily reflects payments of legal and audit fees. The decrease in deferred legal fees resulted from payments of fees. The increase in prepaid expenses and other current and non-current assets was primarily due to the timing of vendor invoicing and payments for sponsorship fees. The decrease in operating lease liabilities resulted primarily from lease payments. The increase in accounts receivable is due to the timing of billings and collections from customer contracts.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had no investing activities.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net cash used in investing activities was $34,000, primarily consisting of purchases of property and equipment. The purchases of equipment during these periods were primarily related to computer equipment purchases.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Activities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$3.0 million for the year ended December 31, 2025. This amount primarily reflects $2.9 million in net proceeds received from the issuance of Convertible Promissory Notes, $1.4 million in net proceeds from the sale of Series-A Preferred Stock, partially offset by the repayment of $1.3 million of Senior Secured Notes.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net cash provided by financing activities was $15.1 million, which consisted of $12.6 million in proceeds from the closing of the Merger, $6.0 million in proceeds received from the issuance of Senior Secured Notes, $8.6 million in proceeds from issuances of Common Stock under the equity line of credit, $2.5 million in proceeds from the partial early termination of the Forward Purchase Agreement and $0.1 million in proceeds from exercises of stock options, partially offset by the payment of $0.1 million debt discount, payment of $0.6 million of notes payable to related parties, payment of $2.9 million of deferred offering costs and the prepayment of $11.0 million under the Forward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Off-Balance Sheet Financing Arrangements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during the periods presented. Zapata and Legacy Zapata have not entered into any off-balance sheet financing agreements,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Collaborative Research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 entered into a collaborative research agreement with a third party, pursuant to which the Company and the third party partnered to develop a quantum generative AI application and a hybrid solver over a three-month term. The Company led the development of the application. The third party also contributed $1,000 to the project in the form of a Senior Secured Note, which it did not elect to convert into the Company's Common Stock upon the Closing of the Merger, and which was repaid in June 2025. The collaborative research agreement was effectively terminated in October 2024 in connection with the Company's Operational Cessation.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consolidated financial statements, which have been prepared in accordance with generally accepted accounting principles in the United States, or U.S. GAAP. The preparation of these consolidated financial statements requires us to make estimates and assumptions that affect the reported amounts of assets and liabilities, the disclosures of contingent assets and liabilities at the date of the consolidated financial statements and the reported amounts of revenues and expenses incurred during the reporting periods. We base our estimates on historical experience, known trends and events, and various other factors that we believe are reasonable under the circumstances, the results of which form the basis for making judgments about the carrying values of assets and liabilities recorded revenues and expenses that are not readily apparent from other sources. We evaluate our estimates and assumptions on an ongoing basis. Actual results may differ from these estimates.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Revenue from Contracts with Customers, we recognize revenue when we satisfy a performance obligation by transferring goods or services promised in a contract to a customer, in an amount that reflects the consideration that we expect to receive in exchange for those goods or services.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we satisfy the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we assess the goods and services promised in our contracts with customers and identify a performance obligation for each promise, implicit or explicit, to transfer to the customer a good or service (or bundle of goods or services) that is distinct.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earn revenue primarily from subscriptions to our software platform and related services. Subscriptions to our software platform are currently offered as stand-ready access to our cloud environment on an annual or multi-year basis. Our consulting services may result in either single or multiple performance obligations based on the contractual terms. We may also offer services in the form of stand-ready scientific and software engineering services, which are typically only offered in conjunction with the software platform. We evaluate our contracts at inception to determine if the promises represent a single, combined performance obligation, or multiple performance obligations. We allocate the transaction price to the performance obligations identified. Judgment is required to allocate the transaction price to each performance obligation. We utilize a stand-alone selling price methodology based on observable or estimated prices for each performance obligation. We consider market conditions, entity-specific factors, and information about the customer that is reasonably available to the entity when estimating stand-alone selling price for those performance obligations without an observable selling price. Our contracts do not contain rights of return, and any variable consideration as the result of service level agreements has been immaterial. We do not have other contractual terms that give rise to variable consideration.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subscriptions to our software platform to date have only been sold as access to the platform in our hosted environment and are therefore recognized over the contract term on a ratable basis, as the promise represents a stand-ready performance obligation.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consulting services is generally recognized over time. Our contracts typically contain fixed-fee transaction prices. We determine and record a provision for loss contracts at the contract level when the current estimate of total costs of the contract at completion exceeds the total consideration we expect to receive. We have not recorded any provision for loss contracts at December 31, 2024. For consulting services, we measure progress toward satisfaction of the performance obligation as the services are provided, and revenue is generally recognized based on the labor hours expended over time. Through this method, we recognize revenue based on the actual labor hours incurred to date compared to the current estimate of total labors hours to satisfy the performance obligation. This method requires periodic updates to the total estimated hours to complete the contract, and these updates may include subjective assessments and judgments. We had limited contracts, where based on our determination of the enforceability of payment terms, revenue was recognized at a point in time when payment became enforceable.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enter into arrangements to build license applications that can be used in conjunction with our software platform. To date, the license application built has been delivered as a perpetual license with associated post-contract support. We recognize the license at the time of deployment, and the related post-contract support over the contracted service period on a ratable basis, as it is provided as a stand-ready service.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services sold in the form of stand-ready scientific and software engineering services are recognized over the contract term on a ratable basis, as the obligation represent a stand-ready obligation.</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payment terms vary by contract and do not contain significant financing components. Amounts collected in advance of revenue recognized are recorded as deferred revenue in the consolidated balance sheets.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Areas of Judgment and Estimation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can include multiple promises to transfer goods and services to the customer, which may be provided over one or more specified phases in the contract. Determining whether promises and/or phases are distinct performance obligations that should be accounted for separately or not distinct within the context of the contract and, thus, accounted for together, requires significant judgment. When customer contracts include promises for multiple goods, services and/or phases, we determine whether the nature of our promise is to transfer (a) multiple promised goods, services and/or phases or (b) a combined item that comprises multiple promised services and/or phases.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consulting services performance obligations that are satisfied over time, we measure progress toward satisfaction of the performance obligation as the services are provided, and revenue is generally recognized based on the labor hours expended over time. Through this method, we recognize revenue based on the actual labor hours incurred to date compared to the current estimate of total labors hours to satisfy the performance obligation. We believe this method best reflects the transfer of control to the customer. This method requires periodic updates to the total estimated hours to complete the contract, and these updates may include subjective assessments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and assumptions are used in the determination of the stand-alone selling price when multiple performance obligations are identified. We utilize a stand-alone selling price methodology based on observable or estimated prices for each performance obligation. We consider market conditions, entity-specific factors, and information about the customer that is reasonably available to the entity when estimating stand-alone selling price for those performance obligations without an observable selling price. Actual results could differ from those estimates and such differences could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Expense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stock-based options granted to employees, directors, and non-employees based on their fair value on the date of the grant using the Black-Scholes option-pricing model for stock options. Compensation expense for those awards is recognized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stock-based awards as they occur. As of December 31, 2025, all awards have service-based vesting conditions.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the Fair Value of Legacy Zapata Common Stock</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of Legacy Zapata has been determined by management with consideration to a third-party valuation, which contemplates a broad range of factors, including the illiquid nature of the investment in Legacy Zapata’s Common Stock, our historical financial performance and financial position, our future prospects and opportunity for liquidity events, and recent sale and offer prices of common and Convertible Preferred Stock, if any, in private transactions negotiated at arm’s length.</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Notes and Senior Secured Notes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2024, we have issued $5.6 million in Senior Notes, all of which were canceled and, inclusive of interest of $0.6 million, exchanged for Senior Secured Notes on December 22, 2023, and $10.0 million in Senior Secured Notes to certain lenders. We performed an analysis of all of the terms and features of the Senior Notes and Senior Secured Notes. We elected the Fair Value Option to account for the Senior Notes as we identified embedded derivatives, such as voluntary conversion upon qualified financing, automatic conversion upon a De-SPAC Transaction, defined as a business combination between Legacy Zapata and a special purpose acquisition company, with or without a private investment in public equity (“PIPE”), automatic conversion upon an initial public offering, repayment under a change of control event, and optional conversion under prepayment, all of which would require bifurcation and separate accounting. The Senior Notes were remeasured at fair value at each balance sheet date until they were converted to Senior Secured Notes in December 2023. Changes to the fair value of the Senior Notes was recorded in other (expense) income, net in the consolidated statements of operations and comprehensive loss. We had also elected the option of combining interest expense and the change in fair value as a single line item within the consolidated statements of operations and comprehensive loss. The analysis of the fair value of the Senior Notes contained inherent assumptions related to the market interest rate, the probability of alternate financing, change of control, initial public offering, De-SPAC Transaction with or without a PIPE, maturity extension, and payment at original maturity. Due to the use of significant unobservable inputs, the overall fair value measurement of the Senior Notes was classified as Level 3.</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Senior Secured Note issued to a third party for capital market advisory services in connection with the Merger as a stock-based award granted to non-employees and measure the award based on the merger date fair value using the binomial lattice model. The award is marked to its redemption value, including paid in-kind interest, if such value exceeds the fair value of the award at the merger date and each reporting period thereafter and we will recognize the additional fair value amount over redemption value as necessary.</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remaining Senior Secured Notes at amortized cost, as they were issued at a substantial premium and do not qualify for the Fair Value Option. Legacy Zapata concluded that the optional conversion feature was not required to be bifurcated or separately accounted for as a derivative. Costs related to the issuance of the remaining Senior Secured Notes were recorded as a debt discount as a reduction of the carrying value of the notes and amortized over the term of the notes and are recorded in other (expense) income, net within the consolidated statements of operations and comprehensive loss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 portion of the aggregate outstanding Senior Secured Notes converted into 3,257,876 shares of Common Stock (856,202 to related parties). Upon the conversion of the Senior Secured Notes, the principal balance of the debt of $14.2 million and associated accrued interest of $0.5 million were converted, resulting in an increase in Common Stock and additional paid-in capital of $14.7 million. Certain holders of the Senior Secured Notes, holding $2.0 million in aggregate principal amount, did not convert their Senior Secured Notes into shares of Common Stock and are recognized at amortized cost. As of December 31, 2024, the $2.2 million of aggregate principal and accrued interest on the outstanding Senior Secured Notes did not include any associated costs that are being recorded as a debt discount and amortized over the remaining term of the outstanding Senior Secured Notes.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Forward Purchase Agreement Derivative Liability </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utilized a Monte-Carlo simulation to value the Forward Purchase Agreement derivative liability. We determined that the Forward Purchase Agreement contains (i) an Optional Early Termination provision, and (ii) a Variable Maturity Consideration. The Optional Early Termination and the Variable Maturity Consideration, as combined, are considered as a freestanding financial instrument and meet the definition of a derivative instrument. The fair value of the forward purchase agreement derivative liability, consisting of the Optional Early Termination and the Variable Maturity Consideration, was estimated using a Monte-Carlo Simulation in a risk-neutral framework. The fair value of the derivative liability was equal to the difference between the fair value of the Forward Purchase Agreement and the amount of cash receivable at the two-year settlement date, which was calculated as the present value of the initial reset price of $10.00 per share (as defined in the Forward Purchase Agreement) discounted using the term-matched risk-free rate.</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the initial value of the instrument as a loss on issuance of forward purchase agreement derivative liability of $4.9 million in the consolidated statements of operations and comprehensive loss. The change in fair value of the forward purchase agreement derivative liability of $2.5 million was recorded during the year ended December 31, 2024, in the consolidated statements of operations and comprehensive loss.</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Recently Issued and Adopted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financial position and results of operations is disclosed in Note 2 to our consolidated financial statements, which are included elsewhere in this Annual Report.</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Emerging Growth Company Status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qualifies as an “emerging growth company,” as defined in the Jumpstart Our Business Startups Act of 2012 (the “JOBS Act”). Pursuant to the JOBS Act, an emerging growth company is provided the option to adopt new or revised accounting standards that may be issued by Financial Accounting Standards Board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you receive from other public companies. We also intend to take advantage of some of the reduced regulatory and reporting requirements applicable to emerging growth companies pursuant to the JOBS Act so long as it qualifies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s1_012"/>
      <w:bookmarkEnd w:id="29"/>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s1_011">
        <w:r>
          <w:rPr>
            <w:rStyle w:val="InternetLink"/>
            <w:rFonts w:ascii="Times New Roman;Times;Serif" w:hAnsi="Times New Roman;Times;Serif"/>
            <w:b w:val="false"/>
            <w:i w:val="false"/>
            <w:caps w:val="false"/>
            <w:smallCaps w:val="false"/>
            <w:sz w:val="20"/>
          </w:rPr>
          <w:t>Management’s Discussion and Analysis of Financial Condition and Results of Operations – Overview</w:t>
        </w:r>
      </w:hyperlink>
      <w:r>
        <w:rPr>
          <w:rFonts w:ascii="Times New Roman;Times;Serif" w:hAnsi="Times New Roman;Times;Serif"/>
          <w:b w:val="false"/>
          <w:i w:val="false"/>
          <w:caps w:val="false"/>
          <w:smallCaps w:val="false"/>
          <w:sz w:val="20"/>
        </w:rPr>
        <w:t>” starting on page 46 for additional information about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we consummated the business combination contemplated by the Business Combination Agreement, dated September 6, 2023, by and among the Company, Merger Sub and Legacy Zapata. Pursuant to the Business Combination Agreement, the Merger took place pursuant to which Merger Sub merged with and into Legacy Zapata resulting in Legacy Zapata becoming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restructuring and financings completed in 2025 and 2026, the Company resumed active operations and rehired key personnel across research and development, product, strategy and operations, and commercial functions, including its Chief Technology Officer, Vice President of Strategy and Operations, Vice President of Product, and Senior Director of Partnerships and Go-to-Market. As disclosed in Financial Note 1 to the Financial Statements, management expects the Company's existing cash to be sufficient to fund its current operating plan for at least twelve months from the issuance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Company’s business plans and operations described herein, and our ability to execute and continue with such efforts, will depend on our ability to raise capital needed to repay vendors and creditors, rehire various personnel and fund our working capital and growth needs. Further, our capital raising efforts and business and operations generally are subject to numerous risks and uncertainties, as described under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starting on page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 to Quantum Computing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computing exploits the principles of quantum mechanics - superposition, entanglement, and interference - to process information in fundamentally new ways. Whereas classical computers operate on bits that are either 0 or 1, quantum computers use quantum bits, or “qubits” that can exist in multiple states simultaneously. This enables exponential scaling of computational possibilities and the potential to solve certain classes of problems - such as molecular simulation, combinatorial optimization, and cryptographic analysis - that are intractable on classical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quantum computing is advancing rapidly, supported by significant broad-based investment. Global governments have announced multibillion-dollar quantum initiatives, venture and public-market investment have accelerated considerably, and major cloud computing providers now offer access to quantum processors. A 2024 Boston Consulting Group analysis estimates that quantum technologies will create $450 billion to $850 billion of economic value globally, sustaining a $90 billion to $170 billion market for hardware and software providers by 2040.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Phases of Quantum Computing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phase of quantum computing has been the arrival of Noisy Intermediate-Scale Quantum (NISQ) devices, characterized by limited qubit counts and the absence of full error correction. Despite these constraints, NISQ computing can still deliver tangible value especially in areas such as materials, chemical simulations and optimization.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has contributed significantly to the advancement of NISQ approaches including pioneering the Variational Quantum Eigensolver (VQE), a foundational hybrid quantum-classical algorithm that combines quantum state preparation with classical optimization to estimate molecular and materials properties, with applications to other domains as well.VQE demonstrated one of the first practical uses of quantum hardware and helped establish the hybrid quantum-classical paradigm that continues to define much of the industry’s progress. Building on this foundation, Zapata develops software and tools that extend hybrid approaches to broader classes of scientific and industrial problems, creating an adaptable framework that evolves with each generation of hardware.Rapid progress is now being made toward the second phase of quantum computing, known as Fault-Tolerant Quantum Computing (FTQC), where error-corrected qubits enable deep, large-scale algorithms with transformative performance. As these systems come online, the race is underway to display what is known as “quantum advantage” or “quantum supremacy” in an increasing number of key problem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announcements by leading FTQC hardware providers has accelerated considerably in recent months - including improvement in qubit coherence times, falling error rates, the demonstration of prototype logical qubits, and the announcement of quantum advantage for some problems. As these breakthroughs accumulate, the focus of progress is shifting toward the application and software layer - where practical utility will first emerge. This is the domain where Zapata Quantum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Unlocking the full potential of FTQC will depend not only on better hardware, but also a mature software stack which will enhance the development of algorithms, compilers, and workflows that translate real-world problems into quantum form. Zapata has proven itself as a leader in this space, with pioneering work across a variety of domains - including chemistry, materials science, optimization, cryptography and machine learning.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advancing the software infrastructure and application frameworks that will define the next generation of quantum computing, Zapata plays a critical role in enabling the industry’s evolution toward large-scale, fault-tolerant quantum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market is entering what many observers describe as its “readiness phase,” evidenced by Microsoft’s declaration of 2025 as the year of quantum readiness. In 2024, McKinsey &amp; Co. estimated annual global spend on quantum computing technologies of approximately $2 billion, growing at 35% per year, including about $400 million directed to software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hardware improvements draw attention, the limiting factor to adoption is the absence of a robust, reusable software infrastructure. Enterprises seeking to explore quantum advantage face steep learning curves, fragmented hardware ecosystems, and scarce talent. Zapata addresses these pain points by providing a coherent, hardware-agnostic software stack and associated technical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quantum computing technology spans nearly every high-value computational domain: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Cryptography and cybersecurity - post-quantum encryption, secure communication, and threat assessment;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Optimization - financial portfolio construction, logistics, manufacturing scheduling, and energy-grid control;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Discovery and simulation - drug design, materials discovery, and climate modeling;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Defense and aerospace - signal processing, sensor fusion, and strategic decision optimization.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software layer will capture a high share of the value created by these solutions to our planet’s most intractable problems. Zapata’s strategy is to occupy this enabling layer - bridging scientific discovery and commercial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products are organized around what it refers to as the Generalized Quantum Stack - a three-layer model that defines the end-to-end process of quantum application development and execution. This framework, validated through Zapata’s multi-year leadership across all technical areas of DARPA’s Quantum Benchmarking program, provides the blueprint for accelerating progress from use case identification to implementation on physical hardware.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Zapata Generalized Quantum Stack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Layer 1: WHY - Use-Case and Utility Benchmark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Defines the purpose of quantum computing by assessing quantum-amenable problems and related utility benchmarks across domains such as chemistry, optimization, cryptography, and materials science. This layer involves curating high-utility, domain-driven benchmarks that connect abstract industry challenges to well-defined computational instances. Zapata’s work here includes building repositories of potential applications and developing workflows for systematic problem formulation, addressing a critical gap in how enterprises and researchers determine where quantum advantage will emerge.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Layer 2: WHAT - Algorithm Development and Benchmarking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Focuses on the design of quantum applications and algorithms. Zapata’s tools enable modular algorithm composition, evaluation, and benchmarking to translate domain problems into executable quantum circuits. This layer bridges academic innovation with industrial relevance by combining Zapata’s curated algorithm library and benchmarking datasets with methods for performance comparison across algorithms and hardware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Layer 3: HOW - Resource Estimation and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implementation phase, encompassing resource estimation, compilation, and hybrid execution across quantum and classical backends. Zapata’s platform, Orquestra, provides an environment for orchestrating these workflows, allowing developers to simulate, optimize, and run algorithms on real quantum hardware or high-performance classical infrastructure. This layer ensures forward compatibility as the industry transitions from NISQ systems to FTQC architectures.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layers define the roadmap for scalable quantum application development. Zapata is the only hardware-agnostic quantum software company to have demonstrated leadership across all three layers of this stack - uniquely positioned to lead the acceleration of the field from theoretical research to practical implementation.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Zapata products within these layers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Orquestra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Orquestra is Zapata’s software platform for developing, orchestrating, and executing quantum and hybrid classical/quantum applications. It provides a unified environment for constructing computational workflows that combine classical and quantum resources. Orquestra manages the end-to-end lifecycle: from problem definition through algorithm selection, circuit compilation, resource estimation, execution, and results analysis. The platform has been used in commercial and research settings including with BP p.l.c., BASF Group , Banco Bilbao Vizcaya Argentaria (BBVA), and Defense Advanced Research Projects Agency (DARPA).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Bench-Q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Bench-Q was developed under the U.S. Defense Advanced Research Projects Agency’s Quantum Benchmarking program, where Zapata uniquely participated across all technical areas (TA-1, TA-1.5 and TA-2). Bench-Q provides a standardized framework and software toolkit for evaluating quantum algorithms and hardware performance against utility-driven benchmarks. It defines metrics and workflows that allow researchers to trace the progression from abstract problem instances to executable circuits. The methods and data models produced in Bench-Q are core to Zapata’s commercial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Graph (QG) is a structured knowledge base that catalogs quantum use cases, algorithms, and application instances in a graph-based format. It provides a searchable, modular representation of how problems, algorithms, and hardware resources connect, forming a foundation for composable quantum application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Pilot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Pilot (QP) builds upon Quantum Graph by introducing an AI-assisted development environment that helps users compose, test, and refine hybrid quantum-classical workflows. By leveraging machine-learning models to suggest algorithmic building blocks and resource optimizations, Quantum Pilot aims to accelerate the design of viable quantum applications by orders of magnitude relative to manual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with our historical activities prior to the cessation of operations in June 2024, we intend to complement our software offerings with high-value technical services to help customers unlock value using Zapata’s software products. Zapata’s service engagements will be performed by teams of quantum scientists, engineers, and domain experts. We expect that certain projects may evolve into longer-term subscriptions to our products, recurring research programs, or joint development agreements that involve co-created or licensed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services will be strategically important both in the current noisy intermediate-scale quantum (NISQ) era and as fault-tolerant quantum computers (FTQC) become commercially available. By embedding its software and expertise in customer workflows today, Zapata intends to position itself as a long-term partner through the industry’s transition from research to scalable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Value Proposition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quantum application development gives enterprises the confidence to invest in quantum computing with clarity and measurable results. It empowers customers to identify where quantum will create real value, validate that potential through data-driven modeling and benchmarking, and prove performance on real hardware before making costly commitments. By uniting discovery, design, and execution in one hardware-agnostic workflow, Zapata delivers readiness by reducing uncertainty, accelerating time-to-insight, and future-proofing quantum adoption. The result is faster innovation, smarter resource allocation, and tangible evidence of competitive advantage, turning quantum ambition into validated business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and Go-To-Market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public sector, Zapata has served as a prime contractor and collaborator under the Defense Advanced Research Projects Agency (DARPA) Quantum Benchmarking (QB) program. It was the only provider chosen to contribute to all technical areas - TA1 (use-case identification and benchmark definition), TA1.5 (algorithm design and implementation), and TA2 (hardware resource estimation and execution) - covering the full spectrum from problem formulation through algorithm development to hardware realization.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work, Zapata developed the foundational methodologies and tooling that now underpin its commercial platforms, including Bench-Q, Orquestra, Quantum Graph and Quantum Pilot, in collaboration with leading universities, government research agencies, and hardware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go-to-market strategy is focusing on direct enterprise sales, channel partnerships, and ecosystem collaborations. It also partners with strategy consultancies that serve enterprise clients exploring quantum readiness. This partnership-driven approach amplifies reach while keeping the Company focused on its core software and IP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to provide subscription-based offerings that combine Zapata Quantum software—specifically the Orquestra platform and any modules such as Bench-Q, Quantum Pilot or Quantum Graph which are delivered on top of it—as well as related services to develop and efficiently deploy custom quantum or hybrid quantum-classical computing applications designed to resolve our enterprise customers’ specific problems.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revenue model is based on subscription payments for our offerings which are utilized to develop and efficiently deploy quantum or hybrid quantum-classical computing applications. Based on our prior operating experience, these engagements typically span use case discovery to prototyping, benchmarking, and ultimately production as quantum hardware advances. We will also, consistent with our historical activity, selectively pursue government contracts related to the advancement of quantum computing applications as a complementary revenue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 and Plan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restructuring and financings completed in 2025 and 2026, the Company has resumed active operations and rehired key personnel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the Company intends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development of its Quantum Graph and Quantum Pilot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research and development efforts with commercial and academic collaborators, including work under its recently announced collaboration with NVIDIA;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 to pursue commercial engagements with prospective enterprise customers and strategic partners for the Company's software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Pursue government funding opportunities and research grants;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Evaluate additional financing opportunities to support the Company's long-term growth strategy as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remains early and fragmented. Competition arises from (a) hardware manufacturers developing vertically integrated stacks (e.g., IBM, IonQ, Rigetti), (b) software-focused startups (e.g., Classiq, QC Ware, Horizon Quantum), and (c) internal R&amp;D groups within large enterprises.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Management believes that Zapata’s differentiation derives from several advantages: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Hardware agnosticism - Compatibility with all leading quantum hardware architectures;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Comprehensive stack coverage - Participation across every technical area of DARPA’s Quantum; Benchmarking Program, providing unique insight into end-to-end application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Proprietary IP portfolio - More than 60 issued or pending patents across jurisdictions covering the critical control points of quantum computing - program compilation, optimization methods, and information retrieval - validated by third-party analysis as essential to the emerging quantum software ecosystem;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Scientific leadership - A team of world-class researchers with deep roots in academic quantum computing, collectively holding dozens of publications and thousands of citations;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AI integration - The use of generative-AI and agent-based methods to augment and automate the creation of quantum algorithms, enabling order-of-magnitude gains in efficiency.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position Zapata as the leading pure-play publicly traded quantum software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Zapata had seven employees, three of whom are full-time including its Chief Executive Officer. The Company intends to expand its headcount considerably upon raising future financing including the re-hiring of certain employees who were with the Company prior to its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Zapata maintains good working relationships with its employees. None of our employees are subject to a collective bargaining agreement or are represented by labor unions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culture is built around its people and network: a global cohort of accomplished scientists, engineers and business professionals. Zapata has, since its founding, demonstrated a commitment to hiring people from diverse backgrounds and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Zapata’s core strengths is innovation, not only in its offerings, but also with the mindset of its people. Over the course of Zapata’s eight years in business, employees have, and continue to, organically collaborate in open forums with varying degrees of organization. Examples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95"/>
        <w:gridCol w:w="9710"/>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sz w:val="20"/>
              </w:rPr>
            </w:pPr>
            <w:r>
              <w:rPr>
                <w:sz w:val="20"/>
              </w:rPr>
              <w:t>Weekly science meetings where employees present their work;</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sz w:val="20"/>
              </w:rPr>
            </w:pPr>
            <w:r>
              <w:rPr>
                <w:sz w:val="20"/>
              </w:rPr>
              <w:t>Working groups where cross-functional group of employees converge to discuss how to move the platform forward; and</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710" w:type="dxa"/>
            <w:tcBorders/>
            <w:vAlign w:val="center"/>
          </w:tcPr>
          <w:p>
            <w:pPr>
              <w:pStyle w:val="TableContents"/>
              <w:bidi w:val="0"/>
              <w:spacing w:before="0" w:after="283"/>
              <w:jc w:val="both"/>
              <w:rPr>
                <w:sz w:val="20"/>
              </w:rPr>
            </w:pPr>
            <w:r>
              <w:rPr>
                <w:sz w:val="20"/>
              </w:rPr>
              <w:t>A book club, which rotates books and members and serves as a forum to have non-work-related discussions.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adheres to five core values: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Integrity: The practice of being honest and showing a consistent and uncompromising adherence to strong moral, ethical, and scientific principles and values.</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Revolutionary Mindset: An attitude towards changing established paradigms and looking for innovative solutions to problems.</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Transparency: Operating in a way that makes it easy for others to see what actions are performed. This manifests itself in a culture of providing feedback and communicating clearly, recognizing our own mistakes, disagreeing in a constructive way.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Inclusiveness: The quality of including many different types of people and treating them all fairly and equally. We strive to be empathic and to appreciate the unique perspective of other people and teams at Zapata Quantum, their own needs and struggles, and to build processes that intentionally include a broad range of perspectives.</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Thoughtfulness: Making ourselves aware of the needs and feelings of others and acting accordingly. Bringing new depth to solutions takes time and attention. We make decisions with a rounded view, considering the needs of all stakeholders and the impact it will have, with as much data as possible.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Quantum’s platform is grounded in a broad and growing portfolio of intellectual property that secures its position as a leader in quantum software. The Company’s intellectual property (IP) strategy focuses on protecting core technologies that enable the efficient development, benchmarking, and deployment of quantum and hybrid applications across multiple hardware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Zapata Quantum held or had pending more than 60 patents worldwide, spanning the United States, Europe, Canada, Australia, and Israel. These patents and applications cover critical methods and systems that define the key control points in quantum software - including program compilation, optimization methods, and information retrieval between classical and quantum computing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intellectual property portfolio comprises 42 granted patents worldwide, with expiration dates ranging from August 2039 to March 2044, and an additional 39 applications in prosecution (pending, published, or allowed). The portfolio spans the United States, Canada, Australia, Israel, Japan, China, Taiwan, and Europe, including the European Patent Office and national rights in Austria, Denmark, France, Germany, Italy, the Netherlands, Norway, Spain, Switzerland, and the United Kingdom, with further international applications filed under the Patent Cooperation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4667250" cy="2638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67250" cy="2638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Representative Patents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U.S. Patent No. 11,599,344 - Computer Architecture for Compiling Hybrid AI / Quantum Programs (QIR) - foundational compiler framework enabling concurrent classical-quantum execution through a Quantum Intermediate Representation (QIR).</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U.S. Patent No. 11,615,329 - Hybrid Quantum-Classical Computer for Bayesian Inference - improves probabilistic inference by reducing measurement overhead and enhancing efficiency as hardware scales.</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U.S. Patent No. 11,605,015 - Hybrid Quantum-Classical Computer System for Implementing and Optimizing Quantum Boltzmann Machines - supports hybrid learning models for generative AI and materials discovery.</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U.S. Patent No. 11,663,513 - Quantum Computer with Exact Compression of Quantum States - reduces qubit requirements through mathematically exact state compression.</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U.S. Patent No. 11,169,801 - Hybrid Quantum-Classical Computer for Variational Coupled Cluster Methods - pioneering VQE-based algorithm for molecular and materials simulation.</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U.S. Patent No. 11,681,774 - Classically-Boosted Quantum Optimization System - enhances convergence speed of quantum optimization algorithms using classical heuristics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early and sustained investment in these domains established Zapata as one of the first companies to secure foundational intellectual property for hybrid quantum-classical computing. The Company believes its intellectual property represents a durable competitive advantage that will be increasingly difficult for competitors to replicate. Zapata continues to evaluate opportunities to assert, license, and expand its IP rights globally to maximize shareholder value and maintain leadership in quantum software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are central to Zapata Quantum’s mission of advancing practical quantum computing. The Company’s R&amp;D program focuses on the creation of scalable algorithmic frameworks, benchmarking methodologies, and AI-assisted development tools that enhance the performance and usability of its software platforms. These initiatives support both near-term hybrid computing and the transition to future fault-tolerant quantum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R&amp;D activities are carried out through close collaboration with government agencies, research consortia, leading universities, and quantum hardware providers. The Company has partnered with multiple academic and national research institutions worldwide, engaging in joint projects that span algorithm design, benchmarking, and system integration. These collaborations help validate Zapata’s technologies in real-world settings and ensure alignment with global scientific and industrial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supported by a Scientific Advisory Board composed of prominent researchers and technical leaders from across the globe who are recognized authorities in quantum information science, applied mathematics, and computational physics. This board provides guidance on long-term research directions, peer review of core technologies, and input on emerging scientific and policy trends affecting the quantum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these efforts, Zapata seeks to accelerate the development of useful quantum applications while deepening its intellectual-property base. The Company’s integrated research program - combining internal innovation, academic collaboration, and global scientific advisory oversight - positions it to contribute meaningfully to the advancement and commercialization of quantum computing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legal proceedings and claims that arise in the ordinary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store, and otherwise process personal information and other data from and about our employees, and from other stakeholders like our vendors. There are numerous federal, state, provincial, local, and international laws and regulations regarding privacy, data protection, information security, and the storing, sharing, use, processing, transfer, disclosure, retention, and protection of personal information and other content, the scope of which is rapidly changing, subject to differing interpretations and may be inconsistent among regions, countries and states, or conflict with other legal requirements. We strive to comply with applicable laws, regulations, policies, and other legal obligations relating to privacy, data protection, and information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For a discussion of certain of the government regulations we currently or may in the future face in conducting our business and the risks and uncertainties relating thereto, see “</w:t>
      </w:r>
      <w:hyperlink w:anchor="s1_006">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s1_013"/>
      <w:bookmarkEnd w:id="30"/>
      <w:r>
        <w:rPr>
          <w:rFonts w:ascii="Times New Roman;Times;Serif" w:hAnsi="Times New Roman;Times;Serif"/>
          <w:b/>
          <w:i w:val="false"/>
          <w:caps w:val="false"/>
          <w:smallCaps w:val="false"/>
          <w:sz w:val="20"/>
        </w:rPr>
        <w:t>MARKET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listed on any securities exchange, and is quoted on the OTCQB under the symbol “ZPTA.” Because our Common Stock is not listed on a securities exchange, there is currently a limited public trading market for our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28, 2026, there were approximately 99 shareholders of record of the Company's Common Stock. We believe that additional beneficial owners of our Common Stock hold shares in street name.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1_014"/>
      <w:bookmarkEnd w:id="31"/>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715"/>
        <w:gridCol w:w="60"/>
        <w:gridCol w:w="350"/>
        <w:gridCol w:w="60"/>
        <w:gridCol w:w="4955"/>
      </w:tblGrid>
      <w:tr>
        <w:trPr/>
        <w:tc>
          <w:tcPr>
            <w:tcW w:w="1715"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b/>
                <w:sz w:val="20"/>
              </w:rPr>
            </w:pPr>
            <w:r>
              <w:rPr>
                <w:b/>
                <w:sz w:val="20"/>
              </w:rPr>
              <w:t>Title</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sz w:val="20"/>
              </w:rPr>
            </w:pPr>
            <w:r>
              <w:rPr>
                <w:sz w:val="20"/>
              </w:rPr>
              <w:t>Chief Executive Officer and Chief Financial Officer, Director</w:t>
            </w:r>
          </w:p>
        </w:tc>
      </w:tr>
      <w:tr>
        <w:trPr/>
        <w:tc>
          <w:tcPr>
            <w:tcW w:w="1715" w:type="dxa"/>
            <w:tcBorders/>
            <w:shd w:fill="FFFFFF" w:val="clear"/>
            <w:tcMar>
              <w:bottom w:w="0" w:type="dxa"/>
            </w:tcMar>
            <w:vAlign w:val="center"/>
          </w:tcPr>
          <w:p>
            <w:pPr>
              <w:pStyle w:val="TableContents"/>
              <w:bidi w:val="0"/>
              <w:spacing w:before="0" w:after="283"/>
              <w:jc w:val="left"/>
              <w:rPr>
                <w:sz w:val="20"/>
              </w:rPr>
            </w:pPr>
            <w:r>
              <w:rPr>
                <w:sz w:val="20"/>
              </w:rPr>
              <w:t>Clark Golestani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sz w:val="20"/>
              </w:rPr>
            </w:pPr>
            <w:r>
              <w:rPr>
                <w:sz w:val="20"/>
              </w:rPr>
              <w:t>Chairman of the Board of Directors</w:t>
            </w:r>
          </w:p>
        </w:tc>
      </w:tr>
      <w:tr>
        <w:trPr/>
        <w:tc>
          <w:tcPr>
            <w:tcW w:w="1715" w:type="dxa"/>
            <w:tcBorders/>
            <w:shd w:fill="CCEEFF" w:val="clear"/>
            <w:tcMar>
              <w:bottom w:w="0" w:type="dxa"/>
            </w:tcMar>
            <w:vAlign w:val="center"/>
          </w:tcPr>
          <w:p>
            <w:pPr>
              <w:pStyle w:val="TableContents"/>
              <w:bidi w:val="0"/>
              <w:spacing w:before="0" w:after="283"/>
              <w:jc w:val="left"/>
              <w:rPr>
                <w:sz w:val="20"/>
              </w:rPr>
            </w:pPr>
            <w:r>
              <w:rPr>
                <w:sz w:val="20"/>
              </w:rPr>
              <w:t>William E. Klitgaard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has served as Chief Executive Officer of the Company since October 7, 2024, Chief Financial Officer since May 8, 2024, and a director since October 9, 2025. Mr. Kapur previously served as the Chief Financial Officer of 3Degrees Inc., a financial services and technology company in the energy sector, from May 2012 to January 2024. Prior to that, Mr. Kapur served as vice president – structured finance, of Sungevity, a solar electricity company, from May 2010 to September 2011, investment analyst at Stark Investments, an investment management firm, from February 2008 to June 2009, and vice president – structured finance group, of Morgan Stanley from August 2004 to February 2008. Mr. Kapur has served on multiple boards of private entities, including the board of directors of Tulip.ai, a venture backed startup making holistic healthcare solutions more accessible and effective through the application of artificial intelligence models, since January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Clark Golestani</w:t>
      </w:r>
      <w:r>
        <w:rPr>
          <w:rFonts w:ascii="Times New Roman;Times;Serif" w:hAnsi="Times New Roman;Times;Serif"/>
          <w:b w:val="false"/>
          <w:i w:val="false"/>
          <w:caps w:val="false"/>
          <w:smallCaps w:val="false"/>
          <w:sz w:val="20"/>
        </w:rPr>
        <w:t>, has served as Chairman of the Board of Directors of the Company (the “Board”) since October 9, 2025, a member of our Board since March 2024 and as a member of the Legacy Zapata Board since September 2018. Mr. Golestani has over 35 years of experience in health, life sciences and technology, and is an active investor, advisor and board member across the healthcare and technology, media, and telecommunications (“TMT”) sectors. Mr. Golestani serves as the Managing Director of C Sensei Group, a business consulting and services company since April 2018, as a Senior Advisor at New Mountain Capital, a private equity firm since April 2018, as an Industry Advisor at Advent, a private equity firm since September 2025. Mr. Golestani also serves as the Managing Director of the K2 Access Fund since October 2020, and as a member of the investment committee of The CXO Fund since August 2018, both venture capital firms that invest in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from June 1994 to April 2018, Mr. Golestani served in multiple positions at Merck &amp; Co. (NYSE: MRK) (“Merck”), a multinational pharmaceutical company, where he was responsible for, among other things, Merck’s portfolio of digital health services and solutions companies, most recently as President, Emerging Businesses and Global Chief Information Officer, prior to his retirement in April 2018. Mr. Golestani also serves as a member of the board of directors of a number of companies, including: eMids, a consulting firm that provides IT and business process management solutions to the healthcare industry, since April 2020; Emmes, a clinical research organization, since March 2021; Iridius.ai, a next-generation agentic AI platform accelerating innovation in the world's most regulated industries, since September 2025; Otonoma, a secure platform that powers the next generation of digital operations with its Paranet system, since August 2024. Mr. Golestani also previously served as a director on the boards of a number of companies, including: Sparta Systems, Inc. as Chairman, an enterprise quality management software provider that was acquired by Honeywell, Inc. (April 2018 to February 2021); CIOX Health, a healthcare information management company (September 2018 to October 2021); Molecula Corp., an artificial intelligence and data analytics company which was acquired by Circuit.ai (September 2020 to June 2024);  Toposware Inc., a developer of blockchain technology acquired by Polygon Labs (December 2020 to May 2024); TruU, Inc. a cybersecurity company (May 2018 to December 2022); UMUC Ventures Inc., a non-profit that provides innovative technology transformation services to educational organizations (April 2016 to September 2020); Seal Software Limited, a contract discovery and contract management software solutions company that was acquired by DocuSign, Inc. (April 2016 to May 2020); and Liaison Technologies, Inc., a global integration and data management company (November 2011 to September 2015).  Mr. Golestani is also a co-founder of Cross Road Technologies, Inc., an IT applications development company. We believe Mr. Golestani is qualified to serve on our Board due to his vast experience and success as a director and executive officer of both public and private companies in the healthcare and TMT sectors and his expertise in finance and venture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E. Klitgaard</w:t>
      </w:r>
      <w:r>
        <w:rPr>
          <w:rFonts w:ascii="Times New Roman;Times;Serif" w:hAnsi="Times New Roman;Times;Serif"/>
          <w:b w:val="false"/>
          <w:i w:val="false"/>
          <w:caps w:val="false"/>
          <w:smallCaps w:val="false"/>
          <w:sz w:val="20"/>
        </w:rPr>
        <w:t>, has served as a director of the Company since October 8, 2025 and was previously a member of our Board from March 2024 to October 15, 2024. Mr. Klitgaard has been a member of the Legacy Zapata Board since June 2023. Mr. Klitgaard has served as an operating executive at Avista Capital Partners, a private equity firm, since 2020. Mr. Klitgaard most recently served as President of Enlighten Health, a division of LabCorp (NYSE:LH) that focuses on innovation and creation of new information-based services utilizing core assets of LabCorp and Covance, Inc. Previously, he spent 19 years at Covance, one of the world’s largest contract research organizations, where he served for three years as Corporate Senior Vice President and Chief Information Officer, and nearly twelve years as Corporate Senior Vice President and Chief Financial Officer. Mr. Klitgaard has served as a director and chair of the audit committee of XIFIN, Inc., a healthcare innovative technology company, since January 2020. Mr. Klitgaard previously served as a director of Syneos Health, Inc. (NASDAQ: SYNH), from March 2017 to September 2023, Inform Diagnostics, from December 2019 to April 2022, Liaison Technologies, from August 2013 to December 2018, Bioclinica, Inc., from June 2018 to March 2019, and Certara, L.P., from September 2017 to July 2020. We believe Mr. Klitgaard’s private equity investment and company oversight experience and background, as well as his financial experience, makes him well qualified to serve on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1_015"/>
      <w:bookmarkEnd w:id="3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since January 1, 2024 as to which the amount involved exceeds the lesser of $120,000 or one percent (1%) of the average of the Company’s total assets at year-end for the last two completed fiscal years, which is $25,000, and in which any related person has or will have a direct or indirect material interest, other than equity, compensation, termination and other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former member of the Board of Directors of Legacy Zapata that left the Board of Directors in March 2024 also provided consulting services to the Company. For the year ended December 31, 2025 and 2024, the Company remitted fees of $0 and $48,000 to the member of its Board of Directors for these services,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Andretti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Legacy Zapata entered into a sponsorship agreement for marketing services to be provided by Andretti Autosport Holding Company, LLC (f/k/a Andretti Autosport Holding Company, Inc., “Andretti Global”). The total commitment under the sponsorship agreement is $8,000 and is due and payable over the period of February 2022 through December 2024. Through December 31, 2024, the Company paid $3,500, leaving $4,500 included in accounts payable as of December 31, 2024. During the year ended December 31, 2024, the Company recognized $2,783 of expenses under the sponsorship agreement. On March 28, 2024, Legacy Zapata entered into a sponsorship agreement with Andretti Autosport 1, LLC, an affiliate of Andretti Global. The agreement expired on December 31, 2024. Subject to the agreement, Legacy Zapata is responsible for payments under the sponsorship agreement in an amount totaling $1,000 that was recognized as expense during the year ended December 31, 2024 and was outstanding as of that date. During the fourth quarter of 2025, the Company entered into a Conversion Agreement that converted $5,504 of accounts payable owed to Andretti Global and its affiliate, Andretti Autosport 1, LLC, less an accounts receivable balance of $1,567, which was subsequently converted into the Company’s Common Stock in the fourth quarter of 2025. As of December 31, 2025, no remaining balance is owed Andretti Global and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AAC’s affiliates, Andretti Global, has preexisting contractual relationships with Legacy Zapata. In February 2022, Andretti Global entered into i) an enterprise solution subscription agreement and ii) a sponsorship agreement with Legacy Zapata, both of which expire on December 31, 2024. During the year ended December 31, 2025 and 2024, the Company recorded $0 and $1,300 in revenue related to the enterprise solution 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1_016"/>
      <w:bookmarkEnd w:id="33"/>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related to the compensation paid, distributed or accrued by us for the fiscal years ended December 31, 2025 and 2024 to our Chief Executive Officer (principal executive officer) (the “Named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28" w:type="dxa"/>
          <w:right w:w="0" w:type="dxa"/>
        </w:tblCellMar>
      </w:tblPr>
      <w:tblGrid>
        <w:gridCol w:w="2300"/>
        <w:gridCol w:w="60"/>
        <w:gridCol w:w="530"/>
        <w:gridCol w:w="60"/>
        <w:gridCol w:w="60"/>
        <w:gridCol w:w="800"/>
        <w:gridCol w:w="140"/>
        <w:gridCol w:w="60"/>
        <w:gridCol w:w="67"/>
        <w:gridCol w:w="763"/>
        <w:gridCol w:w="60"/>
        <w:gridCol w:w="60"/>
        <w:gridCol w:w="60"/>
        <w:gridCol w:w="800"/>
        <w:gridCol w:w="60"/>
        <w:gridCol w:w="60"/>
        <w:gridCol w:w="120"/>
        <w:gridCol w:w="1370"/>
        <w:gridCol w:w="60"/>
        <w:gridCol w:w="60"/>
        <w:gridCol w:w="60"/>
        <w:gridCol w:w="800"/>
        <w:gridCol w:w="75"/>
      </w:tblGrid>
      <w:tr>
        <w:trPr/>
        <w:tc>
          <w:tcPr>
            <w:tcW w:w="2300" w:type="dxa"/>
            <w:tcBorders>
              <w:bottom w:val="single" w:sz="8" w:space="0" w:color="000000"/>
            </w:tcBorders>
            <w:vAlign w:val="center"/>
          </w:tcPr>
          <w:p>
            <w:pPr>
              <w:pStyle w:val="TableContents"/>
              <w:bidi w:val="0"/>
              <w:spacing w:before="0" w:after="283"/>
              <w:jc w:val="left"/>
              <w:rPr>
                <w:b/>
              </w:rPr>
            </w:pPr>
            <w:r>
              <w:rPr>
                <w:b/>
              </w:rPr>
              <w:t>Name and</w:t>
              <w:br/>
              <w:t>Principal Position</w:t>
              <w:br/>
              <w:t>(a)</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br/>
              <w:t>(b)</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Salary</w:t>
              <w:br/>
              <w:t>($)(c)</w:t>
            </w:r>
          </w:p>
        </w:tc>
        <w:tc>
          <w:tcPr>
            <w:tcW w:w="1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Stock</w:t>
              <w:br/>
              <w:t>Awards</w:t>
              <w:br/>
              <w:t>($)(d)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Option</w:t>
              <w:br/>
              <w:t>Awards</w:t>
              <w:b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w:t>
              <w:br/>
              <w:t>Compensation</w:t>
              <w:br/>
              <w:t>($)(f)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Total</w:t>
              <w:br/>
              <w:t>($)(g)</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Sumit Kapur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520,458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42,948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926,406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309,167</w:t>
            </w:r>
          </w:p>
        </w:tc>
        <w:tc>
          <w:tcPr>
            <w:tcW w:w="14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483,434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33,758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826,358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cessation of operations in 2025, the Company paid all employees through October 9,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sz w:val="20"/>
              </w:rPr>
            </w:pPr>
            <w:r>
              <w:rPr>
                <w:sz w:val="20"/>
              </w:rPr>
              <w:t>(1)</w:t>
            </w:r>
          </w:p>
        </w:tc>
        <w:tc>
          <w:tcPr>
            <w:tcW w:w="9940" w:type="dxa"/>
            <w:tcBorders/>
            <w:vAlign w:val="center"/>
          </w:tcPr>
          <w:p>
            <w:pPr>
              <w:pStyle w:val="TableContents"/>
              <w:bidi w:val="0"/>
              <w:spacing w:before="0" w:after="283"/>
              <w:jc w:val="both"/>
              <w:rPr>
                <w:sz w:val="20"/>
              </w:rPr>
            </w:pPr>
            <w:r>
              <w:rPr>
                <w:sz w:val="20"/>
              </w:rPr>
              <w:t>Mr. Kapur has a base salary of $350,000 and bonus target of 30% or $105,000. In the table above his salary for 2025 includes $350,000 base pay. Mr. Kapur’s “All Other Compensation” for 2025 includes $42,948 for health insurance. Mr. Kapur’s “Stock Awards” represent 32,500,000 shares of restricted stock granted on July 10, 2025, valued at $0.0004 per share, which was the closing market price on the issuance date.  On October 9, 2025, the Company appointed Mr. Sumit Kapur to the Board. In connection with his appointment, the Company granted Mr. Kapur 1,000,000 five-year stock options with an exercise price of $0.08, vesting in equal monthly increments over a two-year period. On October 9, 2025, in connection with Mr. Kapur’s services as Chief Executive Officer, the Company also granted Mr. Kapur 5,000,000 five-year stock options with an exercise price of $0.08, vesting in equal monthly installments over four years. These were awarded under the 2024 Equity and Incentive Plan. The amount under “Option Awards” represents the fair market value of such grant calculated in accordance with ASC 718. This amount does not reflect the actual economic value realized by the officer.</w:t>
            </w:r>
          </w:p>
        </w:tc>
      </w:tr>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pPr>
            <w:r>
              <w:rPr/>
              <w:t> </w:t>
            </w:r>
          </w:p>
        </w:tc>
        <w:tc>
          <w:tcPr>
            <w:tcW w:w="99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0" w:type="dxa"/>
            <w:tcBorders/>
            <w:vAlign w:val="center"/>
          </w:tcPr>
          <w:p>
            <w:pPr>
              <w:pStyle w:val="TableContents"/>
              <w:bidi w:val="0"/>
              <w:spacing w:before="0" w:after="283"/>
              <w:jc w:val="both"/>
              <w:rPr>
                <w:sz w:val="20"/>
              </w:rPr>
            </w:pPr>
            <w:r>
              <w:rPr>
                <w:sz w:val="20"/>
              </w:rPr>
              <w:t>(2)</w:t>
            </w:r>
          </w:p>
        </w:tc>
        <w:tc>
          <w:tcPr>
            <w:tcW w:w="9940" w:type="dxa"/>
            <w:tcBorders/>
            <w:vAlign w:val="center"/>
          </w:tcPr>
          <w:p>
            <w:pPr>
              <w:pStyle w:val="TableContents"/>
              <w:bidi w:val="0"/>
              <w:spacing w:before="0" w:after="283"/>
              <w:jc w:val="both"/>
              <w:rPr>
                <w:sz w:val="20"/>
              </w:rPr>
            </w:pPr>
            <w:r>
              <w:rPr>
                <w:sz w:val="20"/>
              </w:rPr>
              <w:t>Mr. Kapur joined the Company on May 13, 2024 with a base salary of $350,000 and bonus target of 30% or $105,000. In the table above his salary for 2024 includes $134,167 standard pay through September 30, 2024 and $175,000 for a six months’ advance/prepayment of salary to retain services to conduct the cessation of operations. Mr. Kapur’s “All Other Compensation” for 2024 includes a payment for his unused paid time off as of the cessation date, $9,898 as well as $23,860 for a six months’ advance/prepayment of health insurance. Mr. Kapur was awarded an Inducement Award on May 8, 2024 which included 656,370 options at an exercise price of $1.12 vesting at “one year cliff, then 36 monthly vest”. These were awarded under the 2018 Plan. The amount under “Option Awards” represents the fair market value of such grant calculated in accordance with ASC 718. This amount does not reflect the actual economic value realized by the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 Kapur</w:t>
      </w:r>
      <w:r>
        <w:rPr>
          <w:rFonts w:ascii="Times New Roman;Times;Serif" w:hAnsi="Times New Roman;Times;Serif"/>
          <w:b w:val="false"/>
          <w:i w:val="false"/>
          <w:caps w:val="false"/>
          <w:smallCaps w:val="false"/>
          <w:sz w:val="20"/>
        </w:rPr>
        <w:t>. Mr. Kapur is employed by the Company pursuant to an oral agreement under which he receives the compensation described in the table above and such other compensation as may be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is information with respect to unexercised options that have not vested and equity incentive plan awards for the Named Executive Officer outstanding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3"/>
        <w:gridCol w:w="60"/>
        <w:gridCol w:w="89"/>
        <w:gridCol w:w="1202"/>
        <w:gridCol w:w="60"/>
        <w:gridCol w:w="60"/>
        <w:gridCol w:w="90"/>
        <w:gridCol w:w="1478"/>
        <w:gridCol w:w="60"/>
        <w:gridCol w:w="60"/>
        <w:gridCol w:w="1301"/>
        <w:gridCol w:w="60"/>
        <w:gridCol w:w="215"/>
        <w:gridCol w:w="677"/>
        <w:gridCol w:w="60"/>
        <w:gridCol w:w="60"/>
        <w:gridCol w:w="1131"/>
        <w:gridCol w:w="60"/>
        <w:gridCol w:w="67"/>
        <w:gridCol w:w="1238"/>
        <w:gridCol w:w="60"/>
        <w:gridCol w:w="60"/>
        <w:gridCol w:w="68"/>
        <w:gridCol w:w="1254"/>
        <w:gridCol w:w="82"/>
      </w:tblGrid>
      <w:tr>
        <w:trPr/>
        <w:tc>
          <w:tcPr>
            <w:tcW w:w="653"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8"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w:t>
              <w:br/>
              <w:t>(#)</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1" w:type="dxa"/>
            <w:tcBorders>
              <w:bottom w:val="single" w:sz="8" w:space="0" w:color="000000"/>
            </w:tcBorders>
            <w:vAlign w:val="center"/>
          </w:tcPr>
          <w:p>
            <w:pPr>
              <w:pStyle w:val="TableContents"/>
              <w:bidi w:val="0"/>
              <w:spacing w:before="0" w:after="283"/>
              <w:jc w:val="center"/>
              <w:rPr>
                <w:b/>
              </w:rPr>
            </w:pPr>
            <w:r>
              <w:rPr>
                <w:b/>
              </w:rPr>
              <w:t>Equity Incentive</w:t>
              <w:br/>
              <w:t>Plan Awards:</w:t>
              <w:br/>
              <w:t>Number of Securities</w:t>
              <w:br/>
              <w:t>Underlying Unexercised</w:t>
              <w:br/>
              <w:t>Unearned Options</w:t>
            </w:r>
          </w:p>
        </w:tc>
        <w:tc>
          <w:tcPr>
            <w:tcW w:w="60"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b/>
              </w:rPr>
            </w:pPr>
            <w:r>
              <w:rPr>
                <w:b/>
              </w:rPr>
              <w:t>Option</w:t>
              <w:b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1" w:type="dxa"/>
            <w:tcBorders>
              <w:bottom w:val="single" w:sz="8" w:space="0" w:color="000000"/>
            </w:tcBorders>
            <w:vAlign w:val="center"/>
          </w:tcPr>
          <w:p>
            <w:pPr>
              <w:pStyle w:val="TableContents"/>
              <w:bidi w:val="0"/>
              <w:spacing w:before="0" w:after="283"/>
              <w:jc w:val="center"/>
              <w:rPr>
                <w:b/>
              </w:rPr>
            </w:pPr>
            <w:r>
              <w:rPr>
                <w:b/>
              </w:rPr>
              <w:t>Option</w:t>
              <w:br/>
              <w:t>Expiration Date</w:t>
            </w:r>
          </w:p>
        </w:tc>
        <w:tc>
          <w:tcPr>
            <w:tcW w:w="60" w:type="dxa"/>
            <w:tcBorders/>
            <w:tcMar>
              <w:bottom w:w="0" w:type="dxa"/>
            </w:tcMar>
            <w:vAlign w:val="center"/>
          </w:tcPr>
          <w:p>
            <w:pPr>
              <w:pStyle w:val="TableContents"/>
              <w:bidi w:val="0"/>
              <w:spacing w:before="0" w:after="283"/>
              <w:jc w:val="left"/>
              <w:rPr/>
            </w:pPr>
            <w:r>
              <w:rPr/>
              <w:t> </w:t>
            </w:r>
          </w:p>
        </w:tc>
        <w:tc>
          <w:tcPr>
            <w:tcW w:w="1305" w:type="dxa"/>
            <w:gridSpan w:val="2"/>
            <w:tcBorders>
              <w:bottom w:val="single" w:sz="8" w:space="0" w:color="000000"/>
            </w:tcBorders>
            <w:vAlign w:val="center"/>
          </w:tcPr>
          <w:p>
            <w:pPr>
              <w:pStyle w:val="TableContents"/>
              <w:bidi w:val="0"/>
              <w:spacing w:before="0" w:after="283"/>
              <w:jc w:val="center"/>
              <w:rPr>
                <w:b/>
              </w:rPr>
            </w:pPr>
            <w:r>
              <w:rPr>
                <w:b/>
              </w:rPr>
              <w:t>Number of Shares or Units of Stock That Have Not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8" w:space="0" w:color="000000"/>
            </w:tcBorders>
            <w:vAlign w:val="center"/>
          </w:tcPr>
          <w:p>
            <w:pPr>
              <w:pStyle w:val="TableContents"/>
              <w:bidi w:val="0"/>
              <w:spacing w:before="0" w:after="283"/>
              <w:jc w:val="center"/>
              <w:rPr>
                <w:b/>
              </w:rPr>
            </w:pPr>
            <w:r>
              <w:rPr>
                <w:b/>
              </w:rPr>
              <w:t>Market Value of Shares or Units of Stock That Have Not Vested</w:t>
            </w:r>
          </w:p>
        </w:tc>
        <w:tc>
          <w:tcPr>
            <w:tcW w:w="82" w:type="dxa"/>
            <w:tcBorders/>
            <w:tcMar>
              <w:bottom w:w="0" w:type="dxa"/>
            </w:tcMar>
            <w:vAlign w:val="center"/>
          </w:tcPr>
          <w:p>
            <w:pPr>
              <w:pStyle w:val="TableContents"/>
              <w:bidi w:val="0"/>
              <w:spacing w:before="0" w:after="283"/>
              <w:jc w:val="left"/>
              <w:rPr/>
            </w:pPr>
            <w:r>
              <w:rPr/>
              <w:t> </w:t>
            </w:r>
          </w:p>
        </w:tc>
      </w:tr>
      <w:tr>
        <w:trPr/>
        <w:tc>
          <w:tcPr>
            <w:tcW w:w="653" w:type="dxa"/>
            <w:tcBorders>
              <w:bottom w:val="single" w:sz="8" w:space="0" w:color="000000"/>
            </w:tcBorders>
            <w:vAlign w:val="center"/>
          </w:tcPr>
          <w:p>
            <w:pPr>
              <w:pStyle w:val="TableContents"/>
              <w:bidi w:val="0"/>
              <w:spacing w:before="0" w:after="283"/>
              <w:jc w:val="left"/>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8" w:space="0" w:color="000000"/>
            </w:tcBorders>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8" w:type="dxa"/>
            <w:gridSpan w:val="2"/>
            <w:tcBorders>
              <w:bottom w:val="single" w:sz="8" w:space="0" w:color="000000"/>
            </w:tcBorders>
            <w:vAlign w:val="center"/>
          </w:tcPr>
          <w:p>
            <w:pPr>
              <w:pStyle w:val="TableContents"/>
              <w:bidi w:val="0"/>
              <w:spacing w:before="0" w:after="283"/>
              <w:jc w:val="center"/>
              <w:rPr>
                <w:b/>
              </w:rPr>
            </w:pPr>
            <w:r>
              <w:rPr>
                <w:b/>
              </w:rPr>
              <w:t>(c)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1" w:type="dxa"/>
            <w:tcBorders>
              <w:bottom w:val="single" w:sz="8" w:space="0" w:color="000000"/>
            </w:tcBorders>
            <w:vAlign w:val="center"/>
          </w:tcPr>
          <w:p>
            <w:pPr>
              <w:pStyle w:val="TableContents"/>
              <w:bidi w:val="0"/>
              <w:spacing w:before="0" w:after="283"/>
              <w:jc w:val="center"/>
              <w:rPr>
                <w:b/>
              </w:rPr>
            </w:pPr>
            <w:r>
              <w:rPr>
                <w:b/>
              </w:rPr>
              <w:t>(d)</w:t>
            </w:r>
          </w:p>
        </w:tc>
        <w:tc>
          <w:tcPr>
            <w:tcW w:w="60"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b/>
              </w:rPr>
            </w:pPr>
            <w:r>
              <w:rPr>
                <w:b/>
              </w:rPr>
              <w: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1" w:type="dxa"/>
            <w:tcBorders>
              <w:bottom w:val="single" w:sz="8" w:space="0" w:color="000000"/>
            </w:tcBorders>
            <w:vAlign w:val="center"/>
          </w:tcPr>
          <w:p>
            <w:pPr>
              <w:pStyle w:val="TableContents"/>
              <w:bidi w:val="0"/>
              <w:spacing w:before="0" w:after="283"/>
              <w:jc w:val="center"/>
              <w:rPr>
                <w:b/>
              </w:rPr>
            </w:pPr>
            <w:r>
              <w:rPr>
                <w:b/>
              </w:rPr>
              <w:t>(f)</w:t>
            </w:r>
          </w:p>
        </w:tc>
        <w:tc>
          <w:tcPr>
            <w:tcW w:w="60" w:type="dxa"/>
            <w:tcBorders/>
            <w:tcMar>
              <w:bottom w:w="0" w:type="dxa"/>
            </w:tcMar>
            <w:vAlign w:val="center"/>
          </w:tcPr>
          <w:p>
            <w:pPr>
              <w:pStyle w:val="TableContents"/>
              <w:bidi w:val="0"/>
              <w:spacing w:before="0" w:after="283"/>
              <w:jc w:val="left"/>
              <w:rPr/>
            </w:pPr>
            <w:r>
              <w:rPr/>
              <w:t> </w:t>
            </w:r>
          </w:p>
        </w:tc>
        <w:tc>
          <w:tcPr>
            <w:tcW w:w="1305" w:type="dxa"/>
            <w:gridSpan w:val="2"/>
            <w:tcBorders>
              <w:bottom w:val="single" w:sz="8" w:space="0" w:color="000000"/>
            </w:tcBorders>
            <w:vAlign w:val="center"/>
          </w:tcPr>
          <w:p>
            <w:pPr>
              <w:pStyle w:val="TableContents"/>
              <w:bidi w:val="0"/>
              <w:spacing w:before="0" w:after="283"/>
              <w:jc w:val="center"/>
              <w:rPr>
                <w:b/>
              </w:rPr>
            </w:pPr>
            <w:r>
              <w:rPr>
                <w:b/>
              </w:rPr>
              <w:t>(g)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8" w:space="0" w:color="000000"/>
            </w:tcBorders>
            <w:vAlign w:val="center"/>
          </w:tcPr>
          <w:p>
            <w:pPr>
              <w:pStyle w:val="TableContents"/>
              <w:bidi w:val="0"/>
              <w:spacing w:before="0" w:after="283"/>
              <w:jc w:val="center"/>
              <w:rPr>
                <w:b/>
              </w:rPr>
            </w:pPr>
            <w:r>
              <w:rPr>
                <w:b/>
              </w:rPr>
              <w:t>($)(h)</w:t>
            </w:r>
          </w:p>
        </w:tc>
        <w:tc>
          <w:tcPr>
            <w:tcW w:w="82" w:type="dxa"/>
            <w:tcBorders/>
            <w:tcMar>
              <w:bottom w:w="0" w:type="dxa"/>
            </w:tcMar>
            <w:vAlign w:val="center"/>
          </w:tcPr>
          <w:p>
            <w:pPr>
              <w:pStyle w:val="TableContents"/>
              <w:bidi w:val="0"/>
              <w:spacing w:before="0" w:after="283"/>
              <w:jc w:val="left"/>
              <w:rPr/>
            </w:pPr>
            <w:r>
              <w:rPr/>
              <w:t> </w:t>
            </w:r>
          </w:p>
        </w:tc>
      </w:tr>
      <w:tr>
        <w:trPr/>
        <w:tc>
          <w:tcPr>
            <w:tcW w:w="653" w:type="dxa"/>
            <w:tcBorders/>
            <w:shd w:fill="CCEEFF" w:val="clear"/>
            <w:tcMar>
              <w:bottom w:w="0" w:type="dxa"/>
            </w:tcMar>
            <w:vAlign w:val="center"/>
          </w:tcPr>
          <w:p>
            <w:pPr>
              <w:pStyle w:val="TableContents"/>
              <w:bidi w:val="0"/>
              <w:spacing w:before="0" w:after="283"/>
              <w:jc w:val="left"/>
              <w:rPr/>
            </w:pPr>
            <w:r>
              <w:rPr/>
              <w:t>Sumit Kapur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259,813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pPr>
            <w:r>
              <w:rPr/>
              <w:t>340,187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center"/>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77" w:type="dxa"/>
            <w:tcBorders/>
            <w:shd w:fill="CCEEFF" w:val="clear"/>
            <w:tcMar>
              <w:bottom w:w="0" w:type="dxa"/>
            </w:tcMar>
            <w:vAlign w:val="center"/>
          </w:tcPr>
          <w:p>
            <w:pPr>
              <w:pStyle w:val="TableContents"/>
              <w:bidi w:val="0"/>
              <w:spacing w:before="0" w:after="283"/>
              <w:jc w:val="right"/>
              <w:rPr/>
            </w:pPr>
            <w:r>
              <w:rPr/>
              <w:t>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5/8/2034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6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283"/>
              <w:jc w:val="right"/>
              <w:rPr/>
            </w:pPr>
            <w:r>
              <w:rPr/>
              <w:t>83,333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8" w:type="dxa"/>
            <w:tcBorders/>
            <w:shd w:fill="FFFFFF" w:val="clear"/>
            <w:tcMar>
              <w:bottom w:w="0" w:type="dxa"/>
            </w:tcMar>
            <w:vAlign w:val="center"/>
          </w:tcPr>
          <w:p>
            <w:pPr>
              <w:pStyle w:val="TableContents"/>
              <w:bidi w:val="0"/>
              <w:spacing w:before="0" w:after="283"/>
              <w:jc w:val="right"/>
              <w:rPr/>
            </w:pPr>
            <w:r>
              <w:rPr/>
              <w:t>916,667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1" w:type="dxa"/>
            <w:tcBorders/>
            <w:shd w:fill="FFFFFF" w:val="clear"/>
            <w:tcMar>
              <w:bottom w:w="0" w:type="dxa"/>
            </w:tcMar>
            <w:vAlign w:val="center"/>
          </w:tcPr>
          <w:p>
            <w:pPr>
              <w:pStyle w:val="TableContents"/>
              <w:bidi w:val="0"/>
              <w:spacing w:before="0" w:after="283"/>
              <w:jc w:val="center"/>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77" w:type="dxa"/>
            <w:tcBorders/>
            <w:shd w:fill="FFFFFF" w:val="clear"/>
            <w:tcMar>
              <w:bottom w:w="0" w:type="dxa"/>
            </w:tcMar>
            <w:vAlign w:val="center"/>
          </w:tcPr>
          <w:p>
            <w:pPr>
              <w:pStyle w:val="TableContents"/>
              <w:bidi w:val="0"/>
              <w:spacing w:before="0" w:after="283"/>
              <w:jc w:val="right"/>
              <w:rPr/>
            </w:pPr>
            <w:r>
              <w:rPr/>
              <w:t>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10/9/2035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6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208,333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pPr>
            <w:r>
              <w:rPr/>
              <w:t>4,791,667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center"/>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77" w:type="dxa"/>
            <w:tcBorders/>
            <w:shd w:fill="CCEEFF" w:val="clear"/>
            <w:tcMar>
              <w:bottom w:w="0" w:type="dxa"/>
            </w:tcMar>
            <w:vAlign w:val="center"/>
          </w:tcPr>
          <w:p>
            <w:pPr>
              <w:pStyle w:val="TableContents"/>
              <w:bidi w:val="0"/>
              <w:spacing w:before="0" w:after="283"/>
              <w:jc w:val="right"/>
              <w:rPr/>
            </w:pPr>
            <w:r>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10/9/2035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6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202"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8"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1" w:type="dxa"/>
            <w:tcBorders/>
            <w:shd w:fill="FFFFFF" w:val="clear"/>
            <w:tcMar>
              <w:bottom w:w="0" w:type="dxa"/>
            </w:tcMar>
            <w:vAlign w:val="center"/>
          </w:tcPr>
          <w:p>
            <w:pPr>
              <w:pStyle w:val="TableContents"/>
              <w:bidi w:val="0"/>
              <w:spacing w:before="0" w:after="283"/>
              <w:jc w:val="center"/>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77" w:type="dxa"/>
            <w:tcBorders/>
            <w:shd w:fill="FFFFFF" w:val="clear"/>
            <w:tcMar>
              <w:bottom w:w="0" w:type="dxa"/>
            </w:tcMar>
            <w:vAlign w:val="center"/>
          </w:tcPr>
          <w:p>
            <w:pPr>
              <w:pStyle w:val="TableContents"/>
              <w:bidi w:val="0"/>
              <w:spacing w:before="0" w:after="283"/>
              <w:jc w:val="right"/>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24,375,000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pPr>
            <w:r>
              <w:rPr/>
              <w:t>38,512,500</w:t>
            </w:r>
          </w:p>
        </w:tc>
        <w:tc>
          <w:tcPr>
            <w:tcW w:w="8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31, 2025, non-employee members of our Board were compensated for as follows:</w:t>
      </w:r>
    </w:p>
    <w:p>
      <w:pPr>
        <w:pStyle w:val="TextBody"/>
        <w:bidi w:val="0"/>
        <w:spacing w:before="0" w:after="0"/>
        <w:ind w:left="0" w:right="0" w:hanging="0"/>
        <w:jc w:val="left"/>
        <w:rPr>
          <w:caps w:val="false"/>
          <w:smallCaps w:val="false"/>
        </w:rPr>
      </w:pPr>
      <w:r>
        <w:rPr>
          <w:caps w:val="false"/>
          <w:smallCaps w:val="false"/>
        </w:rPr>
        <w:t> </w:t>
      </w:r>
    </w:p>
    <w:tbl>
      <w:tblPr>
        <w:tblW w:w="7822" w:type="dxa"/>
        <w:jc w:val="left"/>
        <w:tblInd w:w="0" w:type="dxa"/>
        <w:tblLayout w:type="fixed"/>
        <w:tblCellMar>
          <w:top w:w="0" w:type="dxa"/>
          <w:left w:w="0" w:type="dxa"/>
          <w:bottom w:w="28" w:type="dxa"/>
          <w:right w:w="0" w:type="dxa"/>
        </w:tblCellMar>
      </w:tblPr>
      <w:tblGrid>
        <w:gridCol w:w="2330"/>
        <w:gridCol w:w="60"/>
        <w:gridCol w:w="91"/>
        <w:gridCol w:w="1218"/>
        <w:gridCol w:w="60"/>
        <w:gridCol w:w="60"/>
        <w:gridCol w:w="95"/>
        <w:gridCol w:w="1079"/>
        <w:gridCol w:w="60"/>
        <w:gridCol w:w="60"/>
        <w:gridCol w:w="133"/>
        <w:gridCol w:w="1521"/>
        <w:gridCol w:w="60"/>
        <w:gridCol w:w="60"/>
        <w:gridCol w:w="60"/>
        <w:gridCol w:w="800"/>
        <w:gridCol w:w="75"/>
      </w:tblGrid>
      <w:tr>
        <w:trPr/>
        <w:tc>
          <w:tcPr>
            <w:tcW w:w="2330" w:type="dxa"/>
            <w:tcBorders>
              <w:bottom w:val="single" w:sz="8" w:space="0" w:color="000000"/>
            </w:tcBorders>
            <w:vAlign w:val="center"/>
          </w:tcPr>
          <w:p>
            <w:pPr>
              <w:pStyle w:val="TableContents"/>
              <w:bidi w:val="0"/>
              <w:spacing w:before="0" w:after="283"/>
              <w:jc w:val="left"/>
              <w:rPr>
                <w:b/>
              </w:rPr>
            </w:pPr>
            <w:r>
              <w:rPr>
                <w:b/>
              </w:rPr>
              <w:t>Name</w:t>
              <w:br/>
              <w:t>(a)</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283"/>
              <w:jc w:val="center"/>
              <w:rPr>
                <w:b/>
              </w:rPr>
            </w:pPr>
            <w:r>
              <w:rPr>
                <w:b/>
              </w:rPr>
              <w:t xml:space="preserve">Option Awards </w:t>
              <w:br/>
              <w:t>($)(d)(1)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Clark Golestani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18" w:type="dxa"/>
            <w:tcBorders/>
            <w:shd w:fill="CCEEFF" w:val="clear"/>
            <w:tcMar>
              <w:bottom w:w="0" w:type="dxa"/>
            </w:tcMar>
            <w:vAlign w:val="center"/>
          </w:tcPr>
          <w:p>
            <w:pPr>
              <w:pStyle w:val="TableContents"/>
              <w:bidi w:val="0"/>
              <w:spacing w:before="0" w:after="283"/>
              <w:jc w:val="right"/>
              <w:rPr/>
            </w:pPr>
            <w:r>
              <w:rPr/>
              <w:t>110,000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87,251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210,251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William E. Klitgaard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218" w:type="dxa"/>
            <w:tcBorders/>
            <w:shd w:fill="FFFFFF" w:val="clear"/>
            <w:tcMar>
              <w:bottom w:w="0" w:type="dxa"/>
            </w:tcMar>
            <w:vAlign w:val="center"/>
          </w:tcPr>
          <w:p>
            <w:pPr>
              <w:pStyle w:val="TableContents"/>
              <w:bidi w:val="0"/>
              <w:spacing w:before="0" w:after="283"/>
              <w:jc w:val="right"/>
              <w:rPr/>
            </w:pPr>
            <w:r>
              <w:rPr/>
              <w:t>36,250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74,380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110,630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sz w:val="20"/>
              </w:rPr>
            </w:pPr>
            <w:r>
              <w:rPr>
                <w:sz w:val="20"/>
              </w:rPr>
              <w:t>(1)</w:t>
            </w:r>
          </w:p>
        </w:tc>
        <w:tc>
          <w:tcPr>
            <w:tcW w:w="9939" w:type="dxa"/>
            <w:tcBorders/>
            <w:vAlign w:val="center"/>
          </w:tcPr>
          <w:p>
            <w:pPr>
              <w:pStyle w:val="TableContents"/>
              <w:bidi w:val="0"/>
              <w:spacing w:before="0" w:after="283"/>
              <w:jc w:val="both"/>
              <w:rPr>
                <w:sz w:val="20"/>
              </w:rPr>
            </w:pPr>
            <w:r>
              <w:rPr>
                <w:sz w:val="20"/>
              </w:rPr>
              <w:t>Amounts reported represent the aggregate grant date fair value of awards granted without regards to forfeitures granted to the independent members of our Board during the fiscal year ended December 31, 2025, computed in accordance with ASC 718. This amount does not reflect the actual economic value realized by the director.</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sz w:val="20"/>
              </w:rPr>
            </w:pPr>
            <w:r>
              <w:rPr>
                <w:sz w:val="20"/>
              </w:rPr>
              <w:t>(2)</w:t>
            </w:r>
          </w:p>
        </w:tc>
        <w:tc>
          <w:tcPr>
            <w:tcW w:w="9939" w:type="dxa"/>
            <w:tcBorders/>
            <w:vAlign w:val="center"/>
          </w:tcPr>
          <w:p>
            <w:pPr>
              <w:pStyle w:val="TableContents"/>
              <w:bidi w:val="0"/>
              <w:spacing w:before="0" w:after="283"/>
              <w:jc w:val="both"/>
              <w:rPr>
                <w:sz w:val="20"/>
              </w:rPr>
            </w:pPr>
            <w:r>
              <w:rPr>
                <w:sz w:val="20"/>
              </w:rPr>
              <w:t>Mr. Golestani’s 2025 compensation consisted of: (i) a grant of 32,500,000 shares of restricted Common Stock, vesting in equal monthly increments over a two year period, subject to Mr. Golestani’s continued service to the Company as of each applicable vesting date, (2) a grant of 1,000,000 five-year stock options with an exercise price of $0.08, vesting in equal monthly increments over a two-year period, subject to Mr. Golestani’s continued service to the Company as of each applicable vesting date, and (ii) cash compensation of $110,000 for services as director.</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sz w:val="20"/>
              </w:rPr>
            </w:pPr>
            <w:r>
              <w:rPr>
                <w:sz w:val="20"/>
              </w:rPr>
              <w:t>(3)</w:t>
            </w:r>
          </w:p>
        </w:tc>
        <w:tc>
          <w:tcPr>
            <w:tcW w:w="9939" w:type="dxa"/>
            <w:tcBorders/>
            <w:vAlign w:val="center"/>
          </w:tcPr>
          <w:p>
            <w:pPr>
              <w:pStyle w:val="TableContents"/>
              <w:bidi w:val="0"/>
              <w:spacing w:before="0" w:after="283"/>
              <w:jc w:val="both"/>
              <w:rPr>
                <w:sz w:val="20"/>
              </w:rPr>
            </w:pPr>
            <w:r>
              <w:rPr>
                <w:sz w:val="20"/>
              </w:rPr>
              <w:t>On October 7, 2025, the Company appointed Mr. William Klitgaard to the Board and named him to Audit Committee. Mr. Klitgaard’s 2025 compensation consisted of: (i) a grant of 1,000,000 five-year stock options, vesting in equal monthly increments over a two-year period, subject to continued services to the Company as of each applicable vesting date, with an exercise price of $0.08, (ii) cash compensation of $100,000 per year (prorated for 2025) for services as director, (iii) additional cash compensation of $25,000 per year (prorated for 2025) for services as a chair of the Audit Committee of the Company, (iv) additional cash compensation of $10,000 per year (prorated for 2025) for services as member of the Compensation Committee of the Company, and (v) additional cash compensation of $10,000 per year (prorated for 2025) for services as member of the Corporate Governance Committee of the Company, with all cash grants subject to Mr. Klitgaard’s continued service to the Company as of each applicable payment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resolutions adopted by the Board, non-employee directors are entitled to the following cash fees: (i) $100,000 for services as a director, (ii) $45,000 for services as Lead Independent Director/Chairman of the Board, (iii) $25,000 per committee chair position, and (iv) $10,000 per non-chair committee membership, provided that annual cash compensation for each non-employee director of the Company shall not exceed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unexercised options held by each of our non-employee directors outstanding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5"/>
        <w:gridCol w:w="60"/>
        <w:gridCol w:w="465"/>
        <w:gridCol w:w="7689"/>
        <w:gridCol w:w="76"/>
      </w:tblGrid>
      <w:tr>
        <w:trPr/>
        <w:tc>
          <w:tcPr>
            <w:tcW w:w="191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154" w:type="dxa"/>
            <w:gridSpan w:val="2"/>
            <w:tcBorders>
              <w:bottom w:val="single" w:sz="8" w:space="0" w:color="000000"/>
            </w:tcBorders>
            <w:vAlign w:val="center"/>
          </w:tcPr>
          <w:p>
            <w:pPr>
              <w:pStyle w:val="TableContents"/>
              <w:bidi w:val="0"/>
              <w:spacing w:before="0" w:after="283"/>
              <w:jc w:val="center"/>
              <w:rPr>
                <w:b/>
              </w:rPr>
            </w:pPr>
            <w:r>
              <w:rPr>
                <w:b/>
              </w:rPr>
              <w:t>Aggregate Number of Unexercised Option Awards Outstanding at December 31, 2025</w:t>
            </w:r>
          </w:p>
        </w:tc>
        <w:tc>
          <w:tcPr>
            <w:tcW w:w="76" w:type="dxa"/>
            <w:tcBorders/>
            <w:tcMar>
              <w:bottom w:w="0" w:type="dxa"/>
            </w:tcMar>
            <w:vAlign w:val="center"/>
          </w:tcPr>
          <w:p>
            <w:pPr>
              <w:pStyle w:val="TableContents"/>
              <w:bidi w:val="0"/>
              <w:spacing w:before="0" w:after="283"/>
              <w:jc w:val="left"/>
              <w:rPr/>
            </w:pPr>
            <w:r>
              <w:rPr/>
              <w:t> </w:t>
            </w:r>
          </w:p>
        </w:tc>
      </w:tr>
      <w:tr>
        <w:trPr/>
        <w:tc>
          <w:tcPr>
            <w:tcW w:w="1915" w:type="dxa"/>
            <w:tcBorders/>
            <w:shd w:fill="CCEEFF" w:val="clear"/>
            <w:tcMar>
              <w:bottom w:w="0" w:type="dxa"/>
            </w:tcMar>
            <w:vAlign w:val="center"/>
          </w:tcPr>
          <w:p>
            <w:pPr>
              <w:pStyle w:val="TableContents"/>
              <w:bidi w:val="0"/>
              <w:spacing w:before="0" w:after="283"/>
              <w:jc w:val="left"/>
              <w:rPr/>
            </w:pPr>
            <w:r>
              <w:rPr/>
              <w:t>Clark Golestani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 w:type="dxa"/>
            <w:tcBorders/>
            <w:shd w:fill="CCEEFF" w:val="clear"/>
            <w:tcMar>
              <w:bottom w:w="0" w:type="dxa"/>
            </w:tcMar>
            <w:vAlign w:val="center"/>
          </w:tcPr>
          <w:p>
            <w:pPr>
              <w:pStyle w:val="TableContents"/>
              <w:bidi w:val="0"/>
              <w:spacing w:before="0" w:after="283"/>
              <w:jc w:val="left"/>
              <w:rPr/>
            </w:pPr>
            <w:r>
              <w:rPr/>
              <w:t> </w:t>
            </w:r>
          </w:p>
        </w:tc>
        <w:tc>
          <w:tcPr>
            <w:tcW w:w="7689" w:type="dxa"/>
            <w:tcBorders/>
            <w:shd w:fill="CCEEFF" w:val="clear"/>
            <w:tcMar>
              <w:bottom w:w="0" w:type="dxa"/>
            </w:tcMar>
            <w:vAlign w:val="center"/>
          </w:tcPr>
          <w:p>
            <w:pPr>
              <w:pStyle w:val="TableContents"/>
              <w:bidi w:val="0"/>
              <w:spacing w:before="0" w:after="283"/>
              <w:jc w:val="right"/>
              <w:rPr/>
            </w:pPr>
            <w:r>
              <w:rPr/>
              <w:t>1,000,000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915" w:type="dxa"/>
            <w:tcBorders/>
            <w:shd w:fill="FFFFFF" w:val="clear"/>
            <w:tcMar>
              <w:bottom w:w="0" w:type="dxa"/>
            </w:tcMar>
            <w:vAlign w:val="center"/>
          </w:tcPr>
          <w:p>
            <w:pPr>
              <w:pStyle w:val="TableContents"/>
              <w:bidi w:val="0"/>
              <w:spacing w:before="0" w:after="283"/>
              <w:jc w:val="left"/>
              <w:rPr/>
            </w:pPr>
            <w:r>
              <w:rPr/>
              <w:t>William E. Klitgaard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 w:type="dxa"/>
            <w:tcBorders/>
            <w:shd w:fill="FFFFFF" w:val="clear"/>
            <w:tcMar>
              <w:bottom w:w="0" w:type="dxa"/>
            </w:tcMar>
            <w:vAlign w:val="center"/>
          </w:tcPr>
          <w:p>
            <w:pPr>
              <w:pStyle w:val="TableContents"/>
              <w:bidi w:val="0"/>
              <w:spacing w:before="0" w:after="283"/>
              <w:jc w:val="left"/>
              <w:rPr/>
            </w:pPr>
            <w:r>
              <w:rPr/>
              <w:t> </w:t>
            </w:r>
          </w:p>
        </w:tc>
        <w:tc>
          <w:tcPr>
            <w:tcW w:w="7689" w:type="dxa"/>
            <w:tcBorders/>
            <w:shd w:fill="FFFFFF" w:val="clear"/>
            <w:tcMar>
              <w:bottom w:w="0" w:type="dxa"/>
            </w:tcMar>
            <w:vAlign w:val="center"/>
          </w:tcPr>
          <w:p>
            <w:pPr>
              <w:pStyle w:val="TableContents"/>
              <w:bidi w:val="0"/>
              <w:spacing w:before="0" w:after="283"/>
              <w:jc w:val="right"/>
              <w:rPr/>
            </w:pPr>
            <w:r>
              <w:rPr/>
              <w:t>1,000,000</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Equity Compensation Plan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69"/>
        <w:gridCol w:w="60"/>
        <w:gridCol w:w="98"/>
        <w:gridCol w:w="1803"/>
        <w:gridCol w:w="60"/>
        <w:gridCol w:w="60"/>
        <w:gridCol w:w="166"/>
        <w:gridCol w:w="1225"/>
        <w:gridCol w:w="60"/>
        <w:gridCol w:w="60"/>
        <w:gridCol w:w="181"/>
        <w:gridCol w:w="2984"/>
        <w:gridCol w:w="79"/>
      </w:tblGrid>
      <w:tr>
        <w:trPr/>
        <w:tc>
          <w:tcPr>
            <w:tcW w:w="3369"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190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available for future issuance under equity compensation</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(excluding 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 column (a))</w:t>
            </w:r>
          </w:p>
        </w:tc>
        <w:tc>
          <w:tcPr>
            <w:tcW w:w="79" w:type="dxa"/>
            <w:tcBorders/>
            <w:tcMar>
              <w:bottom w:w="0" w:type="dxa"/>
            </w:tcMar>
            <w:vAlign w:val="center"/>
          </w:tcPr>
          <w:p>
            <w:pPr>
              <w:pStyle w:val="TableContents"/>
              <w:bidi w:val="0"/>
              <w:spacing w:before="0" w:after="283"/>
              <w:jc w:val="left"/>
              <w:rPr/>
            </w:pPr>
            <w:r>
              <w:rPr/>
              <w:t> </w:t>
            </w:r>
          </w:p>
        </w:tc>
      </w:tr>
      <w:tr>
        <w:trPr/>
        <w:tc>
          <w:tcPr>
            <w:tcW w:w="33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1"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1"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65" w:type="dxa"/>
            <w:gridSpan w:val="2"/>
            <w:tcBorders/>
            <w:tcMar>
              <w:bottom w:w="0" w:type="dxa"/>
            </w:tcMar>
            <w:vAlign w:val="center"/>
          </w:tcPr>
          <w:p>
            <w:pPr>
              <w:pStyle w:val="TableContents"/>
              <w:bidi w:val="0"/>
              <w:spacing w:before="0" w:after="283"/>
              <w:jc w:val="center"/>
              <w:rPr>
                <w:b/>
              </w:rPr>
            </w:pPr>
            <w:r>
              <w:rPr>
                <w:b/>
              </w:rPr>
              <w:t>(c)</w:t>
            </w:r>
          </w:p>
        </w:tc>
        <w:tc>
          <w:tcPr>
            <w:tcW w:w="79" w:type="dxa"/>
            <w:tcBorders/>
            <w:tcMar>
              <w:bottom w:w="0" w:type="dxa"/>
            </w:tcMar>
            <w:vAlign w:val="center"/>
          </w:tcPr>
          <w:p>
            <w:pPr>
              <w:pStyle w:val="TableContents"/>
              <w:bidi w:val="0"/>
              <w:spacing w:before="0" w:after="283"/>
              <w:jc w:val="left"/>
              <w:rPr/>
            </w:pPr>
            <w:r>
              <w:rPr/>
              <w:t> </w:t>
            </w:r>
          </w:p>
        </w:tc>
      </w:tr>
      <w:tr>
        <w:trPr/>
        <w:tc>
          <w:tcPr>
            <w:tcW w:w="3369" w:type="dxa"/>
            <w:tcBorders/>
            <w:shd w:fill="CCEEFF" w:val="clear"/>
            <w:tcMar>
              <w:bottom w:w="0" w:type="dxa"/>
            </w:tcMar>
            <w:vAlign w:val="center"/>
          </w:tcPr>
          <w:p>
            <w:pPr>
              <w:pStyle w:val="TableContents"/>
              <w:bidi w:val="0"/>
              <w:spacing w:before="0" w:after="283"/>
              <w:jc w:val="left"/>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803" w:type="dxa"/>
            <w:tcBorders/>
            <w:shd w:fill="CCEEFF" w:val="clear"/>
            <w:tcMar>
              <w:bottom w:w="0" w:type="dxa"/>
            </w:tcM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2984" w:type="dxa"/>
            <w:tcBorders/>
            <w:shd w:fill="CCEEFF" w:val="clear"/>
            <w:tcMar>
              <w:bottom w:w="0" w:type="dxa"/>
            </w:tcM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369" w:type="dxa"/>
            <w:tcBorders/>
            <w:shd w:fill="FFFFFF" w:val="clear"/>
            <w:tcMar>
              <w:bottom w:w="0" w:type="dxa"/>
            </w:tcMar>
            <w:vAlign w:val="center"/>
          </w:tcPr>
          <w:p>
            <w:pPr>
              <w:pStyle w:val="TableContents"/>
              <w:bidi w:val="0"/>
              <w:spacing w:before="0" w:after="283"/>
              <w:jc w:val="left"/>
              <w:rPr/>
            </w:pPr>
            <w:r>
              <w:rPr/>
              <w:t>Equity compensation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8" w:space="0" w:color="000000"/>
            </w:tcBorders>
            <w:shd w:fill="FFFFFF" w:val="clear"/>
            <w:vAlign w:val="center"/>
          </w:tcPr>
          <w:p>
            <w:pPr>
              <w:pStyle w:val="TableContents"/>
              <w:bidi w:val="0"/>
              <w:spacing w:before="0" w:after="283"/>
              <w:jc w:val="left"/>
              <w:rPr/>
            </w:pPr>
            <w:r>
              <w:rPr/>
              <w:t> </w:t>
            </w:r>
          </w:p>
        </w:tc>
        <w:tc>
          <w:tcPr>
            <w:tcW w:w="180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FFFFFF" w:val="clear"/>
            <w:vAlign w:val="center"/>
          </w:tcPr>
          <w:p>
            <w:pPr>
              <w:pStyle w:val="TableContents"/>
              <w:bidi w:val="0"/>
              <w:spacing w:before="0" w:after="283"/>
              <w:jc w:val="left"/>
              <w:rPr/>
            </w:pPr>
            <w:r>
              <w:rPr/>
              <w:t> </w:t>
            </w:r>
          </w:p>
        </w:tc>
        <w:tc>
          <w:tcPr>
            <w:tcW w:w="122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2984"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369"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double" w:sz="6" w:space="0" w:color="000000"/>
            </w:tcBorders>
            <w:shd w:fill="CCEEFF" w:val="clear"/>
            <w:vAlign w:val="center"/>
          </w:tcPr>
          <w:p>
            <w:pPr>
              <w:pStyle w:val="TableContents"/>
              <w:bidi w:val="0"/>
              <w:spacing w:before="0" w:after="283"/>
              <w:jc w:val="left"/>
              <w:rPr/>
            </w:pPr>
            <w:r>
              <w:rPr/>
              <w:t> </w:t>
            </w:r>
          </w:p>
        </w:tc>
        <w:tc>
          <w:tcPr>
            <w:tcW w:w="1803" w:type="dxa"/>
            <w:tcBorders>
              <w:bottom w:val="double" w:sz="6" w:space="0" w:color="000000"/>
            </w:tcBorders>
            <w:shd w:fill="CCEEFF" w:val="clear"/>
            <w:vAlign w:val="center"/>
          </w:tcPr>
          <w:p>
            <w:pPr>
              <w:pStyle w:val="TableContents"/>
              <w:bidi w:val="0"/>
              <w:spacing w:before="0" w:after="283"/>
              <w:jc w:val="right"/>
              <w:rPr/>
            </w:pPr>
            <w:r>
              <w:rPr/>
              <w:t>39,003,451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vAlign w:val="center"/>
          </w:tcPr>
          <w:p>
            <w:pPr>
              <w:pStyle w:val="TableContents"/>
              <w:bidi w:val="0"/>
              <w:spacing w:before="0" w:after="283"/>
              <w:jc w:val="left"/>
              <w:rPr/>
            </w:pPr>
            <w:r>
              <w:rPr/>
              <w:t> </w:t>
            </w:r>
          </w:p>
        </w:tc>
        <w:tc>
          <w:tcPr>
            <w:tcW w:w="1225" w:type="dxa"/>
            <w:tcBorders>
              <w:bottom w:val="double" w:sz="6"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pPr>
            <w:r>
              <w:rPr/>
              <w:t> </w:t>
            </w:r>
          </w:p>
        </w:tc>
        <w:tc>
          <w:tcPr>
            <w:tcW w:w="2984" w:type="dxa"/>
            <w:tcBorders>
              <w:bottom w:val="double" w:sz="6" w:space="0" w:color="000000"/>
            </w:tcBorders>
            <w:shd w:fill="CCEEFF" w:val="clear"/>
            <w:vAlign w:val="center"/>
          </w:tcPr>
          <w:p>
            <w:pPr>
              <w:pStyle w:val="TableContents"/>
              <w:bidi w:val="0"/>
              <w:spacing w:before="0" w:after="283"/>
              <w:jc w:val="right"/>
              <w:rPr/>
            </w:pPr>
            <w:r>
              <w:rPr/>
              <w:t>1,895,000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s1_017"/>
      <w:bookmarkEnd w:id="34"/>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our Common Stock beneficially owned as of May 31, 2026 by (i) our named executive officers, (ii) each director, (iii) those persons known by us to be owners of more than 5% of our Common Stock or Preferred Stock, as applicable, and (iv) all of our executive officers and directors as a group. Unless otherwise specified in the footnotes to this table, the address for each person is: c/o Zapata Quantum, Inc., 6 Liberty Square #2488, Boston, MA 02109.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5"/>
        <w:gridCol w:w="1987"/>
        <w:gridCol w:w="60"/>
        <w:gridCol w:w="105"/>
        <w:gridCol w:w="1460"/>
        <w:gridCol w:w="60"/>
        <w:gridCol w:w="60"/>
        <w:gridCol w:w="189"/>
        <w:gridCol w:w="1346"/>
        <w:gridCol w:w="60"/>
        <w:gridCol w:w="60"/>
        <w:gridCol w:w="107"/>
        <w:gridCol w:w="1481"/>
        <w:gridCol w:w="60"/>
        <w:gridCol w:w="60"/>
        <w:gridCol w:w="264"/>
        <w:gridCol w:w="1483"/>
        <w:gridCol w:w="78"/>
      </w:tblGrid>
      <w:tr>
        <w:trPr/>
        <w:tc>
          <w:tcPr>
            <w:tcW w:w="12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Title of Class of Stock</w:t>
            </w:r>
          </w:p>
        </w:tc>
        <w:tc>
          <w:tcPr>
            <w:tcW w:w="1987" w:type="dxa"/>
            <w:tcBorders>
              <w:bottom w:val="single" w:sz="8" w:space="0" w:color="000000"/>
            </w:tcBorders>
            <w:vAlign w:val="center"/>
          </w:tcPr>
          <w:p>
            <w:pPr>
              <w:pStyle w:val="TableContents"/>
              <w:bidi w:val="0"/>
              <w:spacing w:before="0" w:after="283"/>
              <w:jc w:val="left"/>
              <w:rPr>
                <w:b/>
                <w:sz w:val="16"/>
              </w:rPr>
            </w:pPr>
            <w:r>
              <w:rPr>
                <w:b/>
                <w:sz w:val="16"/>
              </w:rPr>
              <w:t>Beneficial Owner Name &amp; Address</w:t>
            </w:r>
          </w:p>
        </w:tc>
        <w:tc>
          <w:tcPr>
            <w:tcW w:w="60" w:type="dxa"/>
            <w:tcBorders/>
            <w:tcMar>
              <w:bottom w:w="0" w:type="dxa"/>
            </w:tcMar>
            <w:vAlign w:val="center"/>
          </w:tcPr>
          <w:p>
            <w:pPr>
              <w:pStyle w:val="TableContents"/>
              <w:bidi w:val="0"/>
              <w:spacing w:before="0" w:after="283"/>
              <w:jc w:val="left"/>
              <w:rPr/>
            </w:pPr>
            <w:r>
              <w:rPr/>
              <w:t> </w:t>
            </w:r>
          </w:p>
        </w:tc>
        <w:tc>
          <w:tcPr>
            <w:tcW w:w="1565" w:type="dxa"/>
            <w:gridSpan w:val="2"/>
            <w:tcBorders>
              <w:bottom w:val="single" w:sz="8" w:space="0" w:color="000000"/>
            </w:tcBorders>
            <w:vAlign w:val="center"/>
          </w:tcPr>
          <w:p>
            <w:pPr>
              <w:pStyle w:val="TableContents"/>
              <w:bidi w:val="0"/>
              <w:spacing w:before="0" w:after="283"/>
              <w:jc w:val="center"/>
              <w:rPr>
                <w:b/>
                <w:sz w:val="16"/>
              </w:rPr>
            </w:pPr>
            <w:r>
              <w:rPr>
                <w:b/>
                <w:sz w:val="16"/>
              </w:rPr>
              <w:t>Amount of Class of Stock Beneficially Owned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8" w:space="0" w:color="000000"/>
            </w:tcBorders>
            <w:vAlign w:val="center"/>
          </w:tcPr>
          <w:p>
            <w:pPr>
              <w:pStyle w:val="TableContents"/>
              <w:bidi w:val="0"/>
              <w:spacing w:before="0" w:after="283"/>
              <w:jc w:val="center"/>
              <w:rPr>
                <w:b/>
                <w:sz w:val="16"/>
              </w:rPr>
            </w:pPr>
            <w:r>
              <w:rPr>
                <w:b/>
                <w:sz w:val="16"/>
              </w:rPr>
              <w:t>Percent of Class of Stock Beneficially Owned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8" w:type="dxa"/>
            <w:gridSpan w:val="2"/>
            <w:tcBorders>
              <w:bottom w:val="single" w:sz="8" w:space="0" w:color="000000"/>
            </w:tcBorders>
            <w:vAlign w:val="center"/>
          </w:tcPr>
          <w:p>
            <w:pPr>
              <w:pStyle w:val="TableContents"/>
              <w:bidi w:val="0"/>
              <w:spacing w:before="0" w:after="283"/>
              <w:jc w:val="center"/>
              <w:rPr>
                <w:b/>
                <w:sz w:val="16"/>
              </w:rPr>
            </w:pPr>
            <w:r>
              <w:rPr>
                <w:b/>
                <w:sz w:val="16"/>
              </w:rPr>
              <w:t>Pro Forma Fully Diluted Beneficial Ownership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sz w:val="16"/>
              </w:rPr>
            </w:pPr>
            <w:r>
              <w:rPr>
                <w:b/>
                <w:sz w:val="16"/>
              </w:rPr>
              <w:t>Pro Forma Fully Diluted Percentage Beneficially Owned (2)</w:t>
            </w:r>
          </w:p>
        </w:tc>
        <w:tc>
          <w:tcPr>
            <w:tcW w:w="78" w:type="dxa"/>
            <w:tcBorders/>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left"/>
              <w:rPr/>
            </w:pPr>
            <w:r>
              <w:rPr/>
              <w:t> </w:t>
            </w:r>
          </w:p>
        </w:tc>
        <w:tc>
          <w:tcPr>
            <w:tcW w:w="1987" w:type="dxa"/>
            <w:tcBorders/>
            <w:shd w:fill="CCEEFF" w:val="clear"/>
            <w:tcMar>
              <w:bottom w:w="0" w:type="dxa"/>
            </w:tcMar>
            <w:vAlign w:val="center"/>
          </w:tcPr>
          <w:p>
            <w:pPr>
              <w:pStyle w:val="TableContents"/>
              <w:bidi w:val="0"/>
              <w:spacing w:before="0" w:after="283"/>
              <w:jc w:val="left"/>
              <w:rPr>
                <w:b/>
                <w:sz w:val="16"/>
              </w:rPr>
            </w:pPr>
            <w:r>
              <w:rPr>
                <w:b/>
                <w:sz w:val="16"/>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Sumit Kapur, Chief Executive Officer, Chief Financial Officer and Director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37,741,667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19.6%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42,850,000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9.9%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Clark Golestani, Director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36,862,458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37,529,125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8.6%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William E. Klitgaard, Director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4,268,960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4,935,627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1.1%</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left"/>
              <w:rPr/>
            </w:pPr>
            <w:r>
              <w:rPr/>
              <w:t> </w:t>
            </w:r>
          </w:p>
        </w:tc>
        <w:tc>
          <w:tcPr>
            <w:tcW w:w="1987" w:type="dxa"/>
            <w:tcBorders/>
            <w:shd w:fill="CCEEFF" w:val="clear"/>
            <w:tcMar>
              <w:bottom w:w="0" w:type="dxa"/>
            </w:tcMar>
            <w:vAlign w:val="center"/>
          </w:tcPr>
          <w:p>
            <w:pPr>
              <w:pStyle w:val="TableContents"/>
              <w:bidi w:val="0"/>
              <w:spacing w:before="0" w:after="283"/>
              <w:jc w:val="left"/>
              <w:rPr>
                <w:b/>
                <w:sz w:val="16"/>
              </w:rPr>
            </w:pPr>
            <w:r>
              <w:rPr>
                <w:b/>
                <w:sz w:val="16"/>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78,873,085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39.34%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85,314,753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19.6%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left"/>
              <w:rPr/>
            </w:pPr>
            <w:r>
              <w:rPr/>
              <w:t> </w:t>
            </w:r>
          </w:p>
        </w:tc>
        <w:tc>
          <w:tcPr>
            <w:tcW w:w="19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left"/>
              <w:rPr/>
            </w:pPr>
            <w:r>
              <w:rPr/>
              <w:t> </w:t>
            </w:r>
          </w:p>
        </w:tc>
        <w:tc>
          <w:tcPr>
            <w:tcW w:w="1987" w:type="dxa"/>
            <w:tcBorders/>
            <w:shd w:fill="CCEEFF" w:val="clear"/>
            <w:tcMar>
              <w:bottom w:w="0" w:type="dxa"/>
            </w:tcMar>
            <w:vAlign w:val="center"/>
          </w:tcPr>
          <w:p>
            <w:pPr>
              <w:pStyle w:val="TableContents"/>
              <w:bidi w:val="0"/>
              <w:spacing w:before="0" w:after="283"/>
              <w:jc w:val="left"/>
              <w:rPr>
                <w:b/>
                <w:sz w:val="16"/>
              </w:rPr>
            </w:pPr>
            <w:r>
              <w:rPr>
                <w:b/>
                <w:sz w:val="16"/>
              </w:rPr>
              <w:t>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Andretti Autosport Holding Company LLC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9,479,000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9,479,000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2.2%</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Nick Thakore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22,197,000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22,197,000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5.1%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William J. Sandbrook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15,396,567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15,396,567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3.5%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Common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Triatomic Capital Private I LP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18,750,000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23,617,912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5.4%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Triatomic Capital Private I LP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23,617,912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5.4%</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Namdar Family Holding LLC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3,250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22.0%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11,102,254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2.6%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Sohan Uppal (11)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Terra Property Trust, Inc.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3,416,078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D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Vaspen MS I, LLC (13)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285" w:type="dxa"/>
            <w:tcBorders/>
            <w:shd w:fill="CCEEFF" w:val="clear"/>
            <w:tcMar>
              <w:bottom w:w="0" w:type="dxa"/>
            </w:tcMar>
            <w:vAlign w:val="center"/>
          </w:tcPr>
          <w:p>
            <w:pPr>
              <w:pStyle w:val="TableContents"/>
              <w:bidi w:val="0"/>
              <w:spacing w:before="0" w:after="283"/>
              <w:jc w:val="center"/>
              <w:rPr>
                <w:sz w:val="16"/>
              </w:rPr>
            </w:pPr>
            <w:r>
              <w:rPr>
                <w:sz w:val="16"/>
              </w:rPr>
              <w:t>Series C Convertible Preferred Stock</w:t>
            </w:r>
          </w:p>
        </w:tc>
        <w:tc>
          <w:tcPr>
            <w:tcW w:w="1987" w:type="dxa"/>
            <w:tcBorders/>
            <w:shd w:fill="CCEEFF" w:val="clear"/>
            <w:tcMar>
              <w:bottom w:w="0" w:type="dxa"/>
            </w:tcMar>
            <w:vAlign w:val="center"/>
          </w:tcPr>
          <w:p>
            <w:pPr>
              <w:pStyle w:val="TableContents"/>
              <w:bidi w:val="0"/>
              <w:spacing w:before="0" w:after="283"/>
              <w:jc w:val="left"/>
              <w:rPr>
                <w:sz w:val="16"/>
              </w:rPr>
            </w:pPr>
            <w:r>
              <w:rPr>
                <w:sz w:val="16"/>
              </w:rPr>
              <w:t>Foley Hoag LLP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sz w:val="16"/>
              </w:rPr>
            </w:pPr>
            <w:r>
              <w:rPr>
                <w:sz w:val="16"/>
              </w:rPr>
              <w:t>4,892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sz w:val="16"/>
              </w:rPr>
            </w:pPr>
            <w:r>
              <w:rPr>
                <w:sz w:val="16"/>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sz w:val="16"/>
              </w:rPr>
            </w:pPr>
            <w:r>
              <w:rPr>
                <w:sz w:val="16"/>
              </w:rPr>
              <w:t>4,892,000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sz w:val="16"/>
              </w:rPr>
            </w:pPr>
            <w:r>
              <w:rPr>
                <w:sz w:val="16"/>
              </w:rPr>
              <w:t>1.1%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285" w:type="dxa"/>
            <w:tcBorders/>
            <w:shd w:fill="FFFFFF" w:val="clear"/>
            <w:tcMar>
              <w:bottom w:w="0" w:type="dxa"/>
            </w:tcMar>
            <w:vAlign w:val="center"/>
          </w:tcPr>
          <w:p>
            <w:pPr>
              <w:pStyle w:val="TableContents"/>
              <w:bidi w:val="0"/>
              <w:spacing w:before="0" w:after="283"/>
              <w:jc w:val="center"/>
              <w:rPr>
                <w:sz w:val="16"/>
              </w:rPr>
            </w:pPr>
            <w:r>
              <w:rPr>
                <w:sz w:val="16"/>
              </w:rPr>
              <w:t>Series C Convertible Preferred Stock</w:t>
            </w:r>
          </w:p>
        </w:tc>
        <w:tc>
          <w:tcPr>
            <w:tcW w:w="1987" w:type="dxa"/>
            <w:tcBorders/>
            <w:shd w:fill="FFFFFF" w:val="clear"/>
            <w:tcMar>
              <w:bottom w:w="0" w:type="dxa"/>
            </w:tcMar>
            <w:vAlign w:val="center"/>
          </w:tcPr>
          <w:p>
            <w:pPr>
              <w:pStyle w:val="TableContents"/>
              <w:bidi w:val="0"/>
              <w:spacing w:before="0" w:after="283"/>
              <w:jc w:val="left"/>
              <w:rPr>
                <w:sz w:val="16"/>
              </w:rPr>
            </w:pPr>
            <w:r>
              <w:rPr>
                <w:sz w:val="16"/>
              </w:rPr>
              <w:t>Paul, Weiss, Rifkind, Wharton &amp; Garrison LLP (15)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sz w:val="16"/>
              </w:rPr>
            </w:pPr>
            <w:r>
              <w:rPr>
                <w:sz w:val="16"/>
              </w:rPr>
              <w:t>7,091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sz w:val="16"/>
              </w:rPr>
            </w:pPr>
            <w:r>
              <w:rPr>
                <w:sz w:val="16"/>
              </w:rPr>
              <w:t>59.2%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sz w:val="16"/>
              </w:rPr>
            </w:pPr>
            <w:r>
              <w:rPr>
                <w:sz w:val="16"/>
              </w:rPr>
              <w:t>7,091,000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sz w:val="16"/>
              </w:rPr>
            </w:pPr>
            <w:r>
              <w:rPr>
                <w:sz w:val="16"/>
              </w:rPr>
              <w:t>1.6%</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Less than 1%.</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sz w:val="20"/>
              </w:rPr>
            </w:pPr>
            <w:r>
              <w:rPr>
                <w:sz w:val="20"/>
              </w:rPr>
              <w:t>(1)</w:t>
            </w:r>
          </w:p>
        </w:tc>
        <w:tc>
          <w:tcPr>
            <w:tcW w:w="10001" w:type="dxa"/>
            <w:tcBorders/>
            <w:vAlign w:val="center"/>
          </w:tcPr>
          <w:p>
            <w:pPr>
              <w:pStyle w:val="TableContents"/>
              <w:bidi w:val="0"/>
              <w:spacing w:before="0" w:after="283"/>
              <w:jc w:val="both"/>
              <w:rPr>
                <w:sz w:val="20"/>
              </w:rPr>
            </w:pPr>
            <w:r>
              <w:rPr>
                <w:sz w:val="20"/>
              </w:rPr>
              <w:t>Applicable percentages are based on 187,303,921 shares of Common Stock issued and outstanding as of May 31, 2026. Shares of Common Stock subject to options, warrants, convertible preferred stock and other derivative securities currently exercisable or convertible, or exercisable or convertible within 60 days are deemed outstanding for computing the percentage of the person holding such securities but are not deemed outstanding for computing the percentage of any other person. Unless otherwise indicated in the footnotes to this table, the Company believes that each of the shareholders named in the table has sole voting and investment power with respect to the shares indicated as beneficially owned by them.</w:t>
            </w:r>
          </w:p>
        </w:tc>
      </w:tr>
      <w:tr>
        <w:trPr/>
        <w:tc>
          <w:tcPr>
            <w:tcW w:w="20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left"/>
              <w:rPr>
                <w:sz w:val="20"/>
              </w:rPr>
            </w:pPr>
            <w:r>
              <w:rPr>
                <w:sz w:val="20"/>
              </w:rPr>
              <w:t>(2)</w:t>
            </w:r>
          </w:p>
        </w:tc>
        <w:tc>
          <w:tcPr>
            <w:tcW w:w="10001" w:type="dxa"/>
            <w:tcBorders/>
            <w:vAlign w:val="center"/>
          </w:tcPr>
          <w:p>
            <w:pPr>
              <w:pStyle w:val="TableContents"/>
              <w:bidi w:val="0"/>
              <w:spacing w:before="0" w:after="283"/>
              <w:jc w:val="both"/>
              <w:rPr>
                <w:sz w:val="20"/>
              </w:rPr>
            </w:pPr>
            <w:r>
              <w:rPr>
                <w:sz w:val="20"/>
              </w:rPr>
              <w:t>Assumes full vesting of all derivative securities held by the individuals listed, based on 434,389,394 shares of Common Stock on a fully-diluted basis, which amount assumes and gives effect to full conversion and exercise of all outstanding convertible promissory notes, warrants, convertible preferred stock, options and other derivative securities outstanding as of May 31, 2026. Does not give effect to the beneficial ownership limitations contained in such derivative securities.</w:t>
            </w:r>
          </w:p>
        </w:tc>
      </w:tr>
      <w:tr>
        <w:trPr/>
        <w:tc>
          <w:tcPr>
            <w:tcW w:w="20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both"/>
              <w:rPr/>
            </w:pPr>
            <w:r>
              <w:rPr/>
              <w:t> </w:t>
            </w:r>
          </w:p>
        </w:tc>
      </w:tr>
      <w:tr>
        <w:trPr/>
        <w:tc>
          <w:tcPr>
            <w:tcW w:w="204" w:type="dxa"/>
            <w:tcBorders/>
            <w:vAlign w:val="center"/>
          </w:tcPr>
          <w:p>
            <w:pPr>
              <w:pStyle w:val="TableContents"/>
              <w:bidi w:val="0"/>
              <w:spacing w:before="0" w:after="283"/>
              <w:jc w:val="left"/>
              <w:rPr>
                <w:sz w:val="20"/>
              </w:rPr>
            </w:pPr>
            <w:r>
              <w:rPr>
                <w:sz w:val="20"/>
              </w:rPr>
              <w:t>(3)</w:t>
            </w:r>
          </w:p>
        </w:tc>
        <w:tc>
          <w:tcPr>
            <w:tcW w:w="10001" w:type="dxa"/>
            <w:tcBorders/>
            <w:vAlign w:val="center"/>
          </w:tcPr>
          <w:p>
            <w:pPr>
              <w:pStyle w:val="TableContents"/>
              <w:bidi w:val="0"/>
              <w:spacing w:before="0" w:after="283"/>
              <w:jc w:val="both"/>
              <w:rPr>
                <w:sz w:val="20"/>
              </w:rPr>
            </w:pPr>
            <w:r>
              <w:rPr>
                <w:b/>
                <w:sz w:val="20"/>
              </w:rPr>
              <w:t xml:space="preserve">Sumit Kapur. </w:t>
            </w:r>
            <w:r>
              <w:rPr>
                <w:sz w:val="20"/>
              </w:rPr>
              <w:t>Common Stock beneficially owned consists of (i) 32,500,000 restricted shares of the Issuer's Common Stock, vesting in equal monthly installments over a two-year period; (ii) 325,000 shares of Common Stock underlying stock options, which represent a portion of a grant of 600,000 stock options on May 20, 2024 with an exercise price of $1.23 per share, the remainder of which vests in equal monthly increments over three years from March 13, 2025; (iii) 2,500,000 shares of Common Stock issuable upon conversion of a convertible promissory note in the principal amount of $100,000 with a conversion price of $0.04 per share, (iv) 1,250,000 shares of Common Stock issuable upon exercise of a five-year warrant to purchase shares of Common Stock with an exercise price of $0.04 per share, (v) 333,333 shares of Common Stock underlying stock options, which represent a portion of a grant of 1,000,000 stock options on October 9, 2025 with an exercise price of $0.08 per share, the remainder of which vests in equal monthly increments over two years, and (vi) 833,333 shares of Common Stock underlying stock options, which represent a portion of a grant of 5,000,000 stock options on October 9, 2025 with an exercise price of $0.08 per share, the remainder of which vests in equal monthly increments over four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(4)</w:t>
            </w:r>
          </w:p>
        </w:tc>
        <w:tc>
          <w:tcPr>
            <w:tcW w:w="9969" w:type="dxa"/>
            <w:tcBorders/>
            <w:vAlign w:val="center"/>
          </w:tcPr>
          <w:p>
            <w:pPr>
              <w:pStyle w:val="TableContents"/>
              <w:bidi w:val="0"/>
              <w:spacing w:before="0" w:after="283"/>
              <w:jc w:val="both"/>
              <w:rPr>
                <w:sz w:val="20"/>
              </w:rPr>
            </w:pPr>
            <w:r>
              <w:rPr>
                <w:b/>
                <w:sz w:val="20"/>
              </w:rPr>
              <w:t>Clark Golestani</w:t>
            </w:r>
            <w:r>
              <w:rPr>
                <w:sz w:val="20"/>
              </w:rPr>
              <w:t>. Common stock beneficially owned consists of (i) 32,500,000 restricted shares of the Issuer's Common Stock , vesting in equal monthly installments over a two-year period, (ii) 176,288 additional shares of the Issuer's Common Stock , (iii) 34,279 shares of Common Stock underlying stock options exercisable until February 4, 2031, with an exercise price of $2.02 per share; (iv) 68,558 shares of Common Stock underlying stock options exercisable until July 31, 2033, with an exercise price of $3.80 per share; (v) 2,500,000 shares of Common Stock issuable upon conversion of a convertible promissory note in the principal amount of $100,000 with a conversion price of $0.04 per share, (vi) 1,250,000 shares of Common Stock issuable upon exercise of a five-year warrant to purchase shares of Common Stock with an exercise price of $0.04 per share, and (vii) 333,333 shares of Common Stock underlying stock options, which represent a portion of a grant of 1,000,000 stock options on October 9, 2025 with an exercise price of $0.08 per share, the remainder of which vests in equal monthly increments over two years.</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sz w:val="20"/>
              </w:rPr>
            </w:pPr>
            <w:r>
              <w:rPr>
                <w:sz w:val="20"/>
              </w:rPr>
              <w:t>(5)</w:t>
            </w:r>
          </w:p>
        </w:tc>
        <w:tc>
          <w:tcPr>
            <w:tcW w:w="9969" w:type="dxa"/>
            <w:tcBorders/>
            <w:vAlign w:val="center"/>
          </w:tcPr>
          <w:p>
            <w:pPr>
              <w:pStyle w:val="TableContents"/>
              <w:bidi w:val="0"/>
              <w:spacing w:before="0" w:after="283"/>
              <w:jc w:val="both"/>
              <w:rPr>
                <w:sz w:val="20"/>
              </w:rPr>
            </w:pPr>
            <w:r>
              <w:rPr>
                <w:b/>
                <w:sz w:val="20"/>
              </w:rPr>
              <w:t>William Klitgaard</w:t>
            </w:r>
            <w:r>
              <w:rPr>
                <w:sz w:val="20"/>
              </w:rPr>
              <w:t>. Common stock beneficially owned consists of 151,348 shares of Common Stock, (ii) 2,500,000 shares of Common Stock issuable upon conversion of a convertible promissory note in the principal amount of $100,000 with a conversion price of $0.04 per share, (iii) 1,250,000 shares of Common Stock issuable upon exercise of a five-year warrant to purchase shares of Common Stock with an exercise price of $0.04 per share, and (iv) 333,333 shares of Common Stock underlying stock options, which represent a portion of a grant of 1,000,000 stock options on October 9, 2025 with an exercise price of $0.08 per share, the remainder of which vests in equal monthly increments over two years.</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sz w:val="20"/>
              </w:rPr>
            </w:pPr>
            <w:r>
              <w:rPr>
                <w:sz w:val="20"/>
              </w:rPr>
              <w:t>(6)</w:t>
            </w:r>
          </w:p>
        </w:tc>
        <w:tc>
          <w:tcPr>
            <w:tcW w:w="9969" w:type="dxa"/>
            <w:tcBorders/>
            <w:vAlign w:val="center"/>
          </w:tcPr>
          <w:p>
            <w:pPr>
              <w:pStyle w:val="TableContents"/>
              <w:bidi w:val="0"/>
              <w:spacing w:before="0" w:after="283"/>
              <w:jc w:val="both"/>
              <w:rPr>
                <w:sz w:val="20"/>
              </w:rPr>
            </w:pPr>
            <w:r>
              <w:rPr>
                <w:b/>
                <w:sz w:val="20"/>
              </w:rPr>
              <w:t>Andretti Autosport Holding Company LLC. </w:t>
            </w:r>
            <w:r>
              <w:rPr>
                <w:sz w:val="20"/>
              </w:rPr>
              <w:t>Jill Gregory is the President of Andretti Autosport Holding Company, LLC. As such, Andretti Autosport Holding Company, LLC and Jill Gregory may be deemed to beneficially own (as that term is defined in Rule 13d-3 under the Securities Exchange Act of 1934) the issuer's securities described herein. To the extent Jill Gregory is deemed to beneficially own such securities, Jill Gregory disclaims beneficial ownership of these securities except to the extent of its pecuniary interest therein, and the inclusion of these shares in this Prospectus shall not be deemed an admission of beneficial ownership of all of the reported shares for purposes of Section 13 and the rules thereunder. Address is 8278 Georgetown Road Indianapolis, IN 46268.</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sz w:val="20"/>
              </w:rPr>
            </w:pPr>
            <w:r>
              <w:rPr>
                <w:sz w:val="20"/>
              </w:rPr>
              <w:t>(7)</w:t>
            </w:r>
          </w:p>
        </w:tc>
        <w:tc>
          <w:tcPr>
            <w:tcW w:w="9969" w:type="dxa"/>
            <w:tcBorders/>
            <w:vAlign w:val="center"/>
          </w:tcPr>
          <w:p>
            <w:pPr>
              <w:pStyle w:val="TableContents"/>
              <w:bidi w:val="0"/>
              <w:spacing w:before="0" w:after="283"/>
              <w:jc w:val="both"/>
              <w:rPr>
                <w:sz w:val="20"/>
              </w:rPr>
            </w:pPr>
            <w:r>
              <w:rPr>
                <w:b/>
                <w:sz w:val="20"/>
              </w:rPr>
              <w:t>Nick Thakore. </w:t>
            </w:r>
            <w:r>
              <w:rPr>
                <w:sz w:val="20"/>
              </w:rPr>
              <w:t>Represents 18,654,646 shares of the Company’s Common Stock held by Diametric True Alpha Enhanced Market Neutral Master Fund, LP and 3,542,354 shares of Common Stock held by Diametric True Alpha Market Neutral Master Fund, LP, entities in which Mr. Thakore is the Chief Executive Officer and in such capacity is the beneficial owner of such shares. Address is One Nexus Way, Camana Bay, Grand Cayman, KY1-9005.</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pPr>
            <w:r>
              <w:rPr/>
              <w:t>(8)</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William J. Sandbrook. </w:t>
            </w:r>
            <w:r>
              <w:rPr>
                <w:rFonts w:ascii="Times New Roman;Times;Serif" w:hAnsi="Times New Roman;Times;Serif"/>
                <w:b w:val="false"/>
                <w:i w:val="false"/>
                <w:caps w:val="false"/>
                <w:smallCaps w:val="false"/>
                <w:sz w:val="20"/>
              </w:rPr>
              <w:t>Mr. Sandbrook is our former Co-Chief Executive Officer and Chairman. Address is 2500 N. Houston St, Apt 2801, Dallas, TX 75219.</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pPr>
            <w:r>
              <w:rPr/>
              <w:t>(9)</w:t>
            </w:r>
          </w:p>
        </w:tc>
        <w:tc>
          <w:tcPr>
            <w:tcW w:w="9969"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Triatomic Capital Private I LP. </w:t>
            </w:r>
            <w:r>
              <w:rPr>
                <w:rFonts w:ascii="Times New Roman;Times;Serif" w:hAnsi="Times New Roman;Times;Serif"/>
                <w:b w:val="false"/>
                <w:i w:val="false"/>
                <w:caps w:val="false"/>
                <w:smallCaps w:val="false"/>
                <w:sz w:val="20"/>
              </w:rPr>
              <w:t>The shares of Common Stock listed in the table above consists of (i) 12,500,000 shares of Common Stock issuable upon conversion of a convertible promissory note in the principal amount of $500,000 and (ii) 6,250,000 shares of Common Stock issuable upon exercise of a warrant to purchase shares of Common Stock. Common Stock represented in the Pro Forma Fully Diluted Beneficial Ownership listed in the table above consists of (i) 3,245,275 shares of the Company’s Common Stock issuable upon conversion of 1,425 shares of the Company’s Series D Convertible Preferred Stock, (ii) 1,622,637 shares of the Company’s Common Stock issuable upon exercise of Warrant to Purchase Common Stock and (iii) the shares of Common Stock listed above.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505 Hamilton Ave., Ste. 330, Palo Alto, CA 94301.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(10)</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Namdar Family Holding LLC.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7,401,503 shares of the Company’s Common Stock issuable upon conversion of 3,250 shares of the Company’s Series D Convertible Preferred Stock and (ii) 3,700,751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130 Great Neck Rd., Ste. 304, Great Neck, NY 11021.</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(11)</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Sohan Uppal.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8334 Virginia Ave. South, Minneapolis, MN 55438.</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(12)</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Terra Property Trust, Inc.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205 W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10001.</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(13)</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Vaspen MS I, LLC. </w:t>
            </w:r>
            <w:r>
              <w:rPr>
                <w:rFonts w:ascii="Times New Roman;Times;Serif" w:hAnsi="Times New Roman;Times;Serif"/>
                <w:b w:val="false"/>
                <w:i w:val="false"/>
                <w:caps w:val="false"/>
                <w:smallCaps w:val="false"/>
                <w:sz w:val="20"/>
              </w:rPr>
              <w:t>Common Stock represented in the Pro Forma Fully Diluted Beneficial Ownership listed in the table above consists of (i) 2,277,386 shares of the Company’s Common Stock issuable upon conversion of 1,000 shares of the Company’s Series D Convertible Preferred Stock and (ii) 1,138,693 shares of the Company’s Common Stock issuable upon exercise of Warrant to Purchase Common Stock. 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205 W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10001.</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(14)</w:t>
            </w:r>
          </w:p>
        </w:tc>
        <w:tc>
          <w:tcPr>
            <w:tcW w:w="9842" w:type="dxa"/>
            <w:tcBorders/>
            <w:vAlign w:val="center"/>
          </w:tcPr>
          <w:p>
            <w:pPr>
              <w:pStyle w:val="TableContents"/>
              <w:bidi w:val="0"/>
              <w:spacing w:before="0" w:after="0"/>
              <w:ind w:left="0" w:right="0" w:hanging="0"/>
              <w:jc w:val="both"/>
              <w:rPr/>
            </w:pPr>
            <w:r>
              <w:rPr>
                <w:rFonts w:ascii="Times New Roman;Times;Serif" w:hAnsi="Times New Roman;Times;Serif"/>
                <w:b/>
                <w:i w:val="false"/>
                <w:caps w:val="false"/>
                <w:smallCaps w:val="false"/>
                <w:sz w:val="20"/>
              </w:rPr>
              <w:t xml:space="preserve">Foley Hoag LLP. </w:t>
            </w:r>
            <w:r>
              <w:rPr>
                <w:rFonts w:ascii="Times New Roman;Times;Serif" w:hAnsi="Times New Roman;Times;Serif"/>
                <w:b w:val="false"/>
                <w:i w:val="false"/>
                <w:caps w:val="false"/>
                <w:smallCaps w:val="false"/>
                <w:sz w:val="20"/>
              </w:rPr>
              <w:t>For additional information please see “</w:t>
            </w:r>
            <w:hyperlink w:anchor="s1_018">
              <w:r>
                <w:rPr>
                  <w:rStyle w:val="InternetLink"/>
                  <w:rFonts w:ascii="Times New Roman;Times;Serif" w:hAnsi="Times New Roman;Times;Serif"/>
                  <w:b w:val="false"/>
                  <w:i w:val="false"/>
                  <w:caps w:val="false"/>
                  <w:smallCaps w:val="false"/>
                  <w:sz w:val="20"/>
                </w:rPr>
                <w:t>Description of Our Securities</w:t>
              </w:r>
            </w:hyperlink>
            <w:r>
              <w:rPr>
                <w:rFonts w:ascii="Times New Roman;Times;Serif" w:hAnsi="Times New Roman;Times;Serif"/>
                <w:b w:val="false"/>
                <w:i w:val="false"/>
                <w:caps w:val="false"/>
                <w:smallCaps w:val="false"/>
                <w:sz w:val="20"/>
              </w:rPr>
              <w:t>” and “</w:t>
            </w:r>
            <w:hyperlink w:anchor="s1_019">
              <w:r>
                <w:rPr>
                  <w:rStyle w:val="InternetLink"/>
                  <w:rFonts w:ascii="Times New Roman;Times;Serif" w:hAnsi="Times New Roman;Times;Serif"/>
                  <w:b w:val="false"/>
                  <w:i w:val="false"/>
                  <w:caps w:val="false"/>
                  <w:smallCaps w:val="false"/>
                  <w:sz w:val="20"/>
                </w:rPr>
                <w:t>The Selling Stockholders</w:t>
              </w:r>
            </w:hyperlink>
            <w:r>
              <w:rPr>
                <w:rFonts w:ascii="Times New Roman;Times;Serif" w:hAnsi="Times New Roman;Times;Serif"/>
                <w:b w:val="false"/>
                <w:i w:val="false"/>
                <w:caps w:val="false"/>
                <w:smallCaps w:val="false"/>
                <w:sz w:val="20"/>
              </w:rPr>
              <w:t>” below. Address is 155 Seaport Boulevard, Boston, MA 02210-2600.</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r>
        <w:trPr/>
        <w:tc>
          <w:tcPr>
            <w:tcW w:w="363" w:type="dxa"/>
            <w:tcBorders/>
            <w:vAlign w:val="center"/>
          </w:tcPr>
          <w:p>
            <w:pPr>
              <w:pStyle w:val="TableContents"/>
              <w:bidi w:val="0"/>
              <w:spacing w:before="0" w:after="283"/>
              <w:jc w:val="left"/>
              <w:rPr/>
            </w:pPr>
            <w:r>
              <w:rPr/>
              <w:t>(15)</w:t>
            </w:r>
          </w:p>
        </w:tc>
        <w:tc>
          <w:tcPr>
            <w:tcW w:w="9842" w:type="dxa"/>
            <w:tcBorders/>
            <w:vAlign w:val="center"/>
          </w:tcPr>
          <w:p>
            <w:pPr>
              <w:pStyle w:val="TableContents"/>
              <w:bidi w:val="0"/>
              <w:spacing w:before="0" w:after="283"/>
              <w:jc w:val="both"/>
              <w:rPr/>
            </w:pPr>
            <w:r>
              <w:rPr>
                <w:b/>
              </w:rPr>
              <w:t>Paul, Weiss, Rifkind, Wharton &amp; Garrison LLP.</w:t>
            </w:r>
            <w:r>
              <w:rPr/>
              <w:t xml:space="preserve"> </w:t>
            </w:r>
            <w:r>
              <w:rPr>
                <w:rFonts w:ascii="Times New Roman;Times;Serif" w:hAnsi="Times New Roman;Times;Serif"/>
                <w:sz w:val="20"/>
              </w:rPr>
              <w:t>For additional information please see “</w:t>
            </w:r>
            <w:hyperlink w:anchor="s1_018">
              <w:r>
                <w:rPr>
                  <w:rStyle w:val="InternetLink"/>
                  <w:rFonts w:ascii="Times New Roman;Times;Serif" w:hAnsi="Times New Roman;Times;Serif"/>
                  <w:sz w:val="20"/>
                </w:rPr>
                <w:t>Description of Our Securities</w:t>
              </w:r>
            </w:hyperlink>
            <w:r>
              <w:rPr>
                <w:rFonts w:ascii="Times New Roman;Times;Serif" w:hAnsi="Times New Roman;Times;Serif"/>
                <w:sz w:val="20"/>
              </w:rPr>
              <w:t>” below. Address is 1285 Avenue of the Americas, New York, NY 10019-6064.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1_018"/>
      <w:bookmarkEnd w:id="35"/>
      <w:r>
        <w:rPr>
          <w:rFonts w:ascii="Times New Roman;Times;Serif" w:hAnsi="Times New Roman;Times;Serif"/>
          <w:b/>
          <w:i w:val="false"/>
          <w:caps w:val="false"/>
          <w:smallCaps w:val="false"/>
          <w:sz w:val="20"/>
        </w:rPr>
        <w:t>DESCRIPTION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consists of 600,000,000 shares of $0.0001 par value Common Stock, of which 187,303,921 shares are outstanding, 23,000 shares of par value $0.0001 Series C Convertible Preferred Stock of which 11,983 shares are outstanding, and 15,000 shares of par value $0.0001 Series D Convertible Preferred Stock, of which 15,000 shares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held on all matters to be voted upon by the shareholders. At any meeting of the shareholders, a quorum as to any matter shall consist of one-third of the votes entitled to be cast on the matter, except where a larger quorum is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receive dividends declared by our Board out of funds legally available for the payment of dividends, subject to the rights, if any, of preferred shareholders. In the event of our liquidation, dissolution or winding up, holders of Common Stock are entitled to share ratably in all of our assets remaining after we pay our liabilities and distribute the liquidation preference of any then outstanding preferred stock. The rights, preferences and privileges of holders of Common Stock are subject to, and may be adversely affected by, the rights of holders of any series of preferred stock that we may designate and issue in the future. Holders of Common Stock have no preemptive or other subscription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D has a stated value of $1,000 and is convertible into the Company’s Common Stock at a conversion rate equal to the stated value divided by the conversion price. The initial conversion price is $0.4391 per share, subject to adjustment as provided in the Series D Certificate of Designations of Preferences, Rights and Limitations (“Certificate of Designations”). Conversions and voting rights of the Series D are subject to beneficial ownership limitations of 4.99% of 9.99% of outstanding Common Stock, as selected by each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contains certain adjustment provisions, including price protection adjustment provisions in the event of a lower priced issuance of securities, pursuant to which the conversion price of the Series D will be reduced if the Company conducts a subsequent sale or issuance of securities at a price per share that is less than the conversion price then in effect, which reduction is based on a formula set forth therein. Due to the conversion formula set forth in the Series D, such a reduction to the conversion price would result in an increase in the number of shares of Common Stock issuable upon conversion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D are entitled to vote on an as-converted basis, and are also entitled to annual dividends equal to 8% of the stated value per share of Series D payable quarterly in arrears in shares of Common Stock, with the number of shares of Common Stock determined by dividing the dividend amount by the conversion price of the Series 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subjects the Company to negative covenants restricting its ability to take certain actions without prior approval from the holders of a majority of the outstanding shares of Series D for as long as the holders continue to hold at least 50% of the Series D shares issued on the issuance date. These restrictive covenants include the following actions by the Company: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60"/>
        <w:gridCol w:w="987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w:t>
            </w:r>
          </w:p>
        </w:tc>
        <w:tc>
          <w:tcPr>
            <w:tcW w:w="9870" w:type="dxa"/>
            <w:tcBorders/>
            <w:shd w:fill="FFFFFF" w:val="clear"/>
            <w:vAlign w:val="center"/>
          </w:tcPr>
          <w:p>
            <w:pPr>
              <w:pStyle w:val="TableContents"/>
              <w:bidi w:val="0"/>
              <w:spacing w:before="0" w:after="283"/>
              <w:jc w:val="both"/>
              <w:rPr/>
            </w:pPr>
            <w:r>
              <w:rPr/>
              <w:t>Payment or declaration of any dividend (other than pursuant to the Series D Certificate of Designations);</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ii.</w:t>
            </w:r>
          </w:p>
        </w:tc>
        <w:tc>
          <w:tcPr>
            <w:tcW w:w="9870" w:type="dxa"/>
            <w:tcBorders/>
            <w:shd w:fill="FFFFFF" w:val="clear"/>
            <w:vAlign w:val="center"/>
          </w:tcPr>
          <w:p>
            <w:pPr>
              <w:pStyle w:val="TableContents"/>
              <w:bidi w:val="0"/>
              <w:spacing w:before="0" w:after="283"/>
              <w:jc w:val="both"/>
              <w:rPr/>
            </w:pPr>
            <w:r>
              <w:rPr/>
              <w:t>Amendment to the Company’s Certificate of Incorporation or Bylaws so as to adversely alter the rights, preferences, or privileges of the Series D;</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iii.</w:t>
            </w:r>
          </w:p>
        </w:tc>
        <w:tc>
          <w:tcPr>
            <w:tcW w:w="9870" w:type="dxa"/>
            <w:tcBorders/>
            <w:shd w:fill="FFFFFF" w:val="clear"/>
            <w:vAlign w:val="center"/>
          </w:tcPr>
          <w:p>
            <w:pPr>
              <w:pStyle w:val="TableContents"/>
              <w:bidi w:val="0"/>
              <w:spacing w:before="0" w:after="283"/>
              <w:jc w:val="both"/>
              <w:rPr/>
            </w:pPr>
            <w:r>
              <w:rPr/>
              <w:t>Create any new class of shares pari passu or senior to the Series D;</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iv.</w:t>
            </w:r>
          </w:p>
        </w:tc>
        <w:tc>
          <w:tcPr>
            <w:tcW w:w="9870" w:type="dxa"/>
            <w:tcBorders/>
            <w:shd w:fill="FFFFFF" w:val="clear"/>
            <w:vAlign w:val="center"/>
          </w:tcPr>
          <w:p>
            <w:pPr>
              <w:pStyle w:val="TableContents"/>
              <w:bidi w:val="0"/>
              <w:spacing w:before="0" w:after="283"/>
              <w:jc w:val="both"/>
              <w:rPr/>
            </w:pPr>
            <w:r>
              <w:rPr/>
              <w:t>Incur indebtedness in excess of $2,000,000 in the aggregate, other than up to $2,000,000 in purchase money indebtedness, up to $2,000,000 in small business government loans, up to $2,000,000 in capital leases, or in connection with any restructuring, re-financing, third party purchase or similar transaction involving indebtedness which is in existence as of the issuance date;</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v.</w:t>
            </w:r>
          </w:p>
        </w:tc>
        <w:tc>
          <w:tcPr>
            <w:tcW w:w="9870" w:type="dxa"/>
            <w:tcBorders/>
            <w:shd w:fill="FFFFFF" w:val="clear"/>
            <w:vAlign w:val="center"/>
          </w:tcPr>
          <w:p>
            <w:pPr>
              <w:pStyle w:val="TableContents"/>
              <w:bidi w:val="0"/>
              <w:spacing w:before="0" w:after="283"/>
              <w:jc w:val="both"/>
              <w:rPr/>
            </w:pPr>
            <w:r>
              <w:rPr/>
              <w:t>Redeem, purchase or otherwise acquire any shares of preferred stock or Common Stock (other than (a) the repurchase of shares of Common Stock pursuant to a written benefit plan or employment or consulting agreement, (b) the repurchase of any equity securities in connection with the Company’s right of first offer with respect to those securities contained in any written agreement with the Company) or (c) any Exchange as defined in and pursuant to the Certificate of Designations; or</w:t>
            </w:r>
          </w:p>
        </w:tc>
      </w:tr>
      <w:tr>
        <w:trPr/>
        <w:tc>
          <w:tcPr>
            <w:tcW w:w="7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vi.</w:t>
            </w:r>
          </w:p>
        </w:tc>
        <w:tc>
          <w:tcPr>
            <w:tcW w:w="9870" w:type="dxa"/>
            <w:tcBorders/>
            <w:shd w:fill="FFFFFF" w:val="clear"/>
            <w:vAlign w:val="center"/>
          </w:tcPr>
          <w:p>
            <w:pPr>
              <w:pStyle w:val="TableContents"/>
              <w:bidi w:val="0"/>
              <w:spacing w:before="0" w:after="283"/>
              <w:jc w:val="both"/>
              <w:rPr/>
            </w:pPr>
            <w:r>
              <w:rPr/>
              <w:t>Enter into any transaction with any of the Company’s officers, directors or any person directly or indirectly controlled by or under common control with the Company or any of its officers or directors, except for (i) transactions entered into in the ordinary course of business or otherwise in the furtherance of the Company’s business as presently conducted or planned to be conducted, (ii) transactions that are approved by the Board of Directors or (iii) transactions that have been authorized as of the issuance date.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also provides the Company with a special exchange right, pursuant to which the Company can exchange outstanding Series D for shares of Common Stock in 50% increments, provided the following conditions are met: for the first 50%, (i) the average daily VWAP of the Common Stock for the 10 preceding trading days is at least three times the conversion price, and (ii) the average daily dollar trading volume of the Common Stock (determined pursuant to the Series D Certificate) is at least $5,000,000 during this 10-day period, and for the second 50%, (i) the average daily VWAP of the Common Stock for the 10 preceding trading days is at least five times the conversion price, and (ii) the average daily dollar trading volume of the Common Stock (determined pursuant to the Series D Certificate) is at least $5,000,000 during this 10-day period. If the exchange would cause any Series D holder to exceed any applicable beneficial ownership limitation, then the exchange will not be affected as to the shares of Common Stock that would exceed such limit and this right will be held in abeyance for any affected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Certificate of Designations also provides that all shares of capital stock of the Company, including both Common Stock and all other series of preferred stock, shall be junior in rank to all shares of Series D with respect to dividends, and payments upon the liquidation, dissolution, and winding up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 and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trading days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there were 11,499,982 and 11,499,982 Public Warrants outstanding, respectively. As of March 31, 2026 and December 31, 2025, there were 55,800,000 and 55,800,000 Private Placement Warrants outstanding, respectively. The Public Warrants and Private Placement Warrants qualify for equity classification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Warrants were initially measured at fair value and recorded within equity with no subsequent measures of changes in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37,500,000 2025 Warrants outstanding. The 2025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cashlessly by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17,080,390 2026 Warrants outstanding. The 2026 Warrants have a term of seven and one-half years and are exercisable at an initial exercise price of $0.4391 per share, subject to adjustment as provided therein. Beginning on the six-month anniversary of the issuance date, 50% of the shares underlying the 2026 Warrants may be exercised using a cashless exercise. The remaining 50% may be exercised cashlessly at any time if there is no effective registration statement covering the sale of the shares underlying the 2026 Warrants. Exercises of the 2026 Warrants and conversions of the Series D are subject to beneficial ownership limitations of 4.99% or 9.99% of the outstanding shares of Common Stock as elected by each applicable holder.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Warrants contain certain adjustment provisions, including price protection adjustment provisions in the event of a lower priced issuance of securities, pursuant to which the exercise price of the 2026 Warrants will be reduced if the Company conducts a subsequent sale or issuance of securities at a price per share that is less than the exercise price then in effect, which reduction is based on a formula set forth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Activity Warrants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5,433,215 Financing Activity Warrants outstanding. These warrants have a term of five years. 4,750,000 such warrants are exercisable at an average price of $0.05 per share and 683,215 are exercisable at a price of $0.4391 per share. At any time when a registration statement registering the resale of shares issuable upon exercise of the Warrants is not effective, these warrants can be exercised cashlessly by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1_019"/>
      <w:bookmarkEnd w:id="36"/>
      <w:r>
        <w:rPr>
          <w:rFonts w:ascii="Times New Roman;Times;Serif" w:hAnsi="Times New Roman;Times;Serif"/>
          <w:b/>
          <w:i w:val="false"/>
          <w:caps w:val="false"/>
          <w:smallCaps w:val="false"/>
          <w:sz w:val="20"/>
        </w:rPr>
        <w:t>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The Common Stock being offered by the Selling Stockholders are those previously issued to the Selling Stockholders, and those issuable to the Selling Stockholders, upon conversion or exercise of the Convertible Securities. For additional information regarding these issuances, 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above. We are registering the shares of Common Stock in order to permit the Selling Stockholders to offer the shares for resale from time to time. Except for the ownership of the Convertible Securities and the shares of Common Stock and as reflected below, the Selling Stockholders have not had any material relationship with us within the past three years.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pursuant to this Prospectus from time-to-time offer and sell any or all of the Shares to be issued to the Selling Stockholders upon conversion of the Series C, Series D and exercise of the Warrants, and/or may sell the Warrants themselves. We do not know how long each Selling Stockholder will hold the Securities before selling them, and we currently have no agreements, arrangements or understandings with the Selling Stockholders regarding the sale of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rFonts w:ascii="Times New Roman;Times;Serif" w:hAnsi="Times New Roman;Times;Serif"/>
          <w:b w:val="false"/>
          <w:i w:val="false"/>
          <w:caps w:val="false"/>
          <w:smallCaps w:val="false"/>
          <w:sz w:val="20"/>
        </w:rPr>
        <w:t>To our knowledge, none of the Selling Stockholders nor any affiliates has held a position or office, or had any other material relationship, with us or any of our predecessors or affiliates, except as set forth below or under the heading “</w:t>
      </w:r>
      <w:hyperlink w:anchor="s1_017">
        <w:r>
          <w:rPr>
            <w:rStyle w:val="InternetLink"/>
            <w:rFonts w:ascii="Times New Roman;Times;Serif" w:hAnsi="Times New Roman;Times;Serif"/>
            <w:b w:val="false"/>
            <w:i w:val="false"/>
            <w:caps w:val="false"/>
            <w:smallCaps w:val="false"/>
            <w:sz w:val="20"/>
          </w:rPr>
          <w:t>Principal Stockholders</w:t>
        </w:r>
      </w:hyperlink>
      <w:r>
        <w:rPr>
          <w:rFonts w:ascii="Times New Roman;Times;Serif" w:hAnsi="Times New Roman;Times;Serif"/>
          <w:b w:val="false"/>
          <w:i w:val="false"/>
          <w:caps w:val="false"/>
          <w:smallCaps w:val="false"/>
          <w:sz w:val="20"/>
        </w:rPr>
        <w:t>.” As used in this Prospectus, the term “Selling Stockholder” includes each Selling Stockholder and any donees, pledgees, transferees or other successors in interest selling Securities received after the date of this Prospectus from that Selling Stockholder as a gift, pledge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table below lists information regarding the ownership of the Shares by the Selling Stockholders. The first column lists the shares of our common stock beneficially owned by the Selling Stockholders prior to this offering. Each Selling Stockholder may sell all, some or none of the Shares it beneficially owns in this offering. See “</w:t>
      </w:r>
      <w:hyperlink w:anchor="s1_009">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For this purpose, it is assumed that the Selling Stockholders will exercise their Warrants and sell the underlying Shares issuable thereby, rather than sell their Warrants, and as such the table below reflects the Shares on an “as-converted” and “as-exercised”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column lists the Shares being offered by this Prospectus by Selling Stockholder. The third column lists any Shares beneficially owned by each Selling Stockholder after the sale of all Shares listed in the second column. The fourth column lists the percent of the class beneficially owned by each Selling Stockholder after the Offering. The fourth column assumes the sale of all of the shares offered by the Selling Shareholders pursuant to this Prospectus.</w:t>
      </w:r>
    </w:p>
    <w:p>
      <w:pPr>
        <w:pStyle w:val="TextBody"/>
        <w:bidi w:val="0"/>
        <w:spacing w:before="0" w:after="0"/>
        <w:ind w:left="72" w:right="72"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certain registration rights agreements with the Selling Shareholders, this prospectus generally covers the resale of the sum of (i) the number of shares of Common Stock issued or issuable to the Selling Shareholders, and (ii) the maximum number of shares of Common Stock issuable upon exercise of the Warrants, determined as if the outstanding Warrants were exercised in full as of the trading day immediately preceding the date this registration statement was initially filed with the SEC, subject to adjustment as provided in the registration rights agreement, without regard to any limitations on the exercise of the Warrants.</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72"/>
        <w:gridCol w:w="60"/>
        <w:gridCol w:w="1443"/>
        <w:gridCol w:w="60"/>
        <w:gridCol w:w="2517"/>
        <w:gridCol w:w="60"/>
        <w:gridCol w:w="1761"/>
        <w:gridCol w:w="60"/>
        <w:gridCol w:w="1394"/>
        <w:gridCol w:w="78"/>
      </w:tblGrid>
      <w:tr>
        <w:trPr/>
        <w:tc>
          <w:tcPr>
            <w:tcW w:w="2772" w:type="dxa"/>
            <w:tcBorders>
              <w:bottom w:val="single" w:sz="8" w:space="0" w:color="000000"/>
            </w:tcBorders>
            <w:vAlign w:val="center"/>
          </w:tcPr>
          <w:p>
            <w:pPr>
              <w:pStyle w:val="TableContents"/>
              <w:bidi w:val="0"/>
              <w:spacing w:before="0" w:after="283"/>
              <w:jc w:val="left"/>
              <w:rPr>
                <w:b/>
              </w:rPr>
            </w:pPr>
            <w:r>
              <w:rPr>
                <w:b/>
              </w:rPr>
              <w:t>Name of Holder</w:t>
            </w:r>
          </w:p>
        </w:tc>
        <w:tc>
          <w:tcPr>
            <w:tcW w:w="60" w:type="dxa"/>
            <w:tcBorders/>
            <w:tcMar>
              <w:bottom w:w="0" w:type="dxa"/>
            </w:tcMar>
            <w:vAlign w:val="center"/>
          </w:tcPr>
          <w:p>
            <w:pPr>
              <w:pStyle w:val="TableContents"/>
              <w:bidi w:val="0"/>
              <w:spacing w:before="0" w:after="283"/>
              <w:jc w:val="left"/>
              <w:rPr/>
            </w:pPr>
            <w:r>
              <w:rPr/>
              <w:t> </w:t>
            </w:r>
          </w:p>
        </w:tc>
        <w:tc>
          <w:tcPr>
            <w:tcW w:w="1443" w:type="dxa"/>
            <w:tcBorders>
              <w:bottom w:val="single" w:sz="8" w:space="0" w:color="000000"/>
            </w:tcBorders>
            <w:vAlign w:val="center"/>
          </w:tcPr>
          <w:p>
            <w:pPr>
              <w:pStyle w:val="TableContents"/>
              <w:bidi w:val="0"/>
              <w:spacing w:before="0" w:after="283"/>
              <w:jc w:val="center"/>
              <w:rPr>
                <w:b/>
                <w:sz w:val="20"/>
              </w:rPr>
            </w:pPr>
            <w:r>
              <w:rPr>
                <w:b/>
                <w:sz w:val="20"/>
              </w:rPr>
              <w:t>Number of Shares of Common Stock</w:t>
              <w:br/>
              <w:t>Owned Prior to</w:t>
              <w:br/>
              <w:t xml:space="preserve">Offering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517" w:type="dxa"/>
            <w:tcBorders>
              <w:bottom w:val="single" w:sz="8" w:space="0" w:color="000000"/>
            </w:tcBorders>
            <w:vAlign w:val="center"/>
          </w:tcPr>
          <w:p>
            <w:pPr>
              <w:pStyle w:val="TableContents"/>
              <w:bidi w:val="0"/>
              <w:spacing w:before="0" w:after="283"/>
              <w:jc w:val="center"/>
              <w:rPr>
                <w:b/>
              </w:rPr>
            </w:pPr>
            <w:r>
              <w:rPr>
                <w:b/>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1761" w:type="dxa"/>
            <w:tcBorders>
              <w:bottom w:val="single" w:sz="8" w:space="0" w:color="000000"/>
            </w:tcBorders>
            <w:vAlign w:val="center"/>
          </w:tcPr>
          <w:p>
            <w:pPr>
              <w:pStyle w:val="TableContents"/>
              <w:bidi w:val="0"/>
              <w:spacing w:before="0" w:after="283"/>
              <w:jc w:val="center"/>
              <w:rPr>
                <w:b/>
              </w:rPr>
            </w:pPr>
            <w:r>
              <w:rPr>
                <w:b/>
              </w:rPr>
              <w:t>Number of</w:t>
              <w:br/>
              <w:t>Shares of Common Stock Owned After Offering</w:t>
            </w:r>
          </w:p>
        </w:tc>
        <w:tc>
          <w:tcPr>
            <w:tcW w:w="60" w:type="dxa"/>
            <w:tcBorders/>
            <w:tcMar>
              <w:bottom w:w="0" w:type="dxa"/>
            </w:tcMar>
            <w:vAlign w:val="center"/>
          </w:tcPr>
          <w:p>
            <w:pPr>
              <w:pStyle w:val="TableContents"/>
              <w:bidi w:val="0"/>
              <w:spacing w:before="0" w:after="283"/>
              <w:jc w:val="left"/>
              <w:rPr/>
            </w:pPr>
            <w:r>
              <w:rPr/>
              <w:t> </w:t>
            </w:r>
          </w:p>
        </w:tc>
        <w:tc>
          <w:tcPr>
            <w:tcW w:w="1394" w:type="dxa"/>
            <w:tcBorders>
              <w:bottom w:val="single" w:sz="8" w:space="0" w:color="000000"/>
            </w:tcBorders>
            <w:vAlign w:val="center"/>
          </w:tcPr>
          <w:p>
            <w:pPr>
              <w:pStyle w:val="TableContents"/>
              <w:bidi w:val="0"/>
              <w:spacing w:before="0" w:after="283"/>
              <w:jc w:val="center"/>
              <w:rPr>
                <w:b/>
              </w:rPr>
            </w:pPr>
            <w:r>
              <w:rPr>
                <w:b/>
              </w:rPr>
              <w:t xml:space="preserve">Percentage </w:t>
              <w:br/>
              <w:t>of Outstanding</w:t>
              <w:br/>
              <w:t>Shares Beneficially</w:t>
              <w:br/>
              <w:t>Owned After</w:t>
              <w:br/>
              <w:t>Offering</w:t>
            </w:r>
          </w:p>
        </w:tc>
        <w:tc>
          <w:tcPr>
            <w:tcW w:w="78" w:type="dxa"/>
            <w:tcBorders/>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Yung-Cheng LAI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1,860,539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152,500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BJI Financial Group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The Prakash Family 2012 Trust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1,195,627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1,195,627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Eugene Ng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George Kaufman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10,027,519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1,400,592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8,626,927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4.6%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Great Point Capital,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2,220,451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2,220,451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Griffin Ehlen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Bay 1118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Joseph W. Dews IV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Abraham-Hill,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683,216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Mark Turley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Calitim Investments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The Amended and Restated Matthew M. Bennett Living Trust d/t/d 4/7/22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756,206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256,206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Mavik Capital Management,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1,708,039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Terra Property Trust, Inc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Vaspen MS I,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Paul Schneck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Peter Taunton Revocable Trust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Rhonda Reinholtz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Rich Olsen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4,604,020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3,750,000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2.0%</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TRIATOMIC CAPITAL PRIVATE I LP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23,617,912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4,867,912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18,750,000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10.0%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Resonance Capital,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3,354,020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1.3%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Namdar Family Holding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11,102,254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11,102,254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Ravi Bhat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Alan Fragen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683,216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683,216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Alexander Cohen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Robert N. Snyder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392,849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392,849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Bradley Louis Radoff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Brian Kabot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Fifth Lane Partners Fund,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Chris Heaney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170,804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Clinton Biondo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David Moore Revocable Trust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H&amp;H Realty Associates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Marc Lehmann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MYW Holdings,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Notini Heritage Revocable Trust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Castel Holdings LLC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512,412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TCG Holdings I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Barney Investments,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170,804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Mike Kropp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341,608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Odeon Credit Strategies Fund LP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854,020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HURRICANE CAPITAL MANAGER PLATFORM SPC - HMAP S1SP2 SANDOZ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512,412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512,412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Chaim Howard Wietschner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256,206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256,206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Cytium Investment Management,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854,020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The RF Trust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597,814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597,814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MICHAEL DISTENFELD IRA RBC CAPITAL MARKETS LLC CUS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819,814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597,814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222,000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Sohan Uppal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3,416,078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Odeon Capital Group LLC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648,120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256,889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391,321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sz w:val="20"/>
              </w:rPr>
            </w:pPr>
            <w:r>
              <w:rPr>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Chardan Capital Markets, LLC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213,163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213,163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Craig-Hallum Capital Group LLC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3,763,163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7" w:type="dxa"/>
            <w:tcBorders/>
            <w:shd w:fill="CCEEFF" w:val="clear"/>
            <w:tcMar>
              <w:bottom w:w="0" w:type="dxa"/>
            </w:tcMar>
            <w:vAlign w:val="center"/>
          </w:tcPr>
          <w:p>
            <w:pPr>
              <w:pStyle w:val="TableContents"/>
              <w:bidi w:val="0"/>
              <w:spacing w:before="0" w:after="283"/>
              <w:jc w:val="right"/>
              <w:rPr/>
            </w:pPr>
            <w:r>
              <w:rPr/>
              <w:t>213,163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1" w:type="dxa"/>
            <w:tcBorders/>
            <w:shd w:fill="CCEEFF" w:val="clear"/>
            <w:tcMar>
              <w:bottom w:w="0" w:type="dxa"/>
            </w:tcMar>
            <w:vAlign w:val="center"/>
          </w:tcPr>
          <w:p>
            <w:pPr>
              <w:pStyle w:val="TableContents"/>
              <w:bidi w:val="0"/>
              <w:spacing w:before="0" w:after="283"/>
              <w:jc w:val="right"/>
              <w:rPr/>
            </w:pPr>
            <w:r>
              <w:rPr/>
              <w:t>3,550,000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1.9%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772" w:type="dxa"/>
            <w:tcBorders/>
            <w:shd w:fill="FFFFFF" w:val="clear"/>
            <w:tcMar>
              <w:bottom w:w="0" w:type="dxa"/>
            </w:tcMar>
            <w:vAlign w:val="center"/>
          </w:tcPr>
          <w:p>
            <w:pPr>
              <w:pStyle w:val="TableContents"/>
              <w:bidi w:val="0"/>
              <w:spacing w:before="0" w:after="283"/>
              <w:jc w:val="left"/>
              <w:rPr/>
            </w:pPr>
            <w:r>
              <w:rPr/>
              <w:t>Foley Hoag LLP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4,892,000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7" w:type="dxa"/>
            <w:tcBorders/>
            <w:shd w:fill="FFFFFF" w:val="clear"/>
            <w:tcMar>
              <w:bottom w:w="0" w:type="dxa"/>
            </w:tcMar>
            <w:vAlign w:val="center"/>
          </w:tcPr>
          <w:p>
            <w:pPr>
              <w:pStyle w:val="TableContents"/>
              <w:bidi w:val="0"/>
              <w:spacing w:before="0" w:after="283"/>
              <w:jc w:val="right"/>
              <w:rPr/>
            </w:pPr>
            <w:r>
              <w:rPr/>
              <w:t>4,892,000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w:t>
            </w:r>
          </w:p>
        </w:tc>
        <w:tc>
          <w:tcPr>
            <w:tcW w:w="9997" w:type="dxa"/>
            <w:tcBorders/>
            <w:vAlign w:val="center"/>
          </w:tcPr>
          <w:p>
            <w:pPr>
              <w:pStyle w:val="TableContents"/>
              <w:bidi w:val="0"/>
              <w:spacing w:before="0" w:after="283"/>
              <w:jc w:val="both"/>
              <w:rPr>
                <w:sz w:val="20"/>
              </w:rPr>
            </w:pPr>
            <w:r>
              <w:rPr>
                <w:sz w:val="20"/>
              </w:rPr>
              <w:t>Less than 1%</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(1)</w:t>
            </w:r>
          </w:p>
        </w:tc>
        <w:tc>
          <w:tcPr>
            <w:tcW w:w="9997" w:type="dxa"/>
            <w:tcBorders/>
            <w:vAlign w:val="center"/>
          </w:tcPr>
          <w:p>
            <w:pPr>
              <w:pStyle w:val="TableContents"/>
              <w:bidi w:val="0"/>
              <w:spacing w:before="0" w:after="283"/>
              <w:jc w:val="both"/>
              <w:rPr>
                <w:sz w:val="20"/>
              </w:rPr>
            </w:pPr>
            <w:r>
              <w:rPr>
                <w:sz w:val="20"/>
              </w:rPr>
              <w:t xml:space="preserve">Beneficial ownership is determined in accordance with Section 13(d) under the Exchange Act and Rule 13d-3 thereunder. It includes all shares which each Selling Stockholder currently has the power to vote and/or sell as of the date of this Prospectus and within 60 days afterwards. </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pPr>
            <w:r>
              <w:rPr>
                <w:sz w:val="20"/>
              </w:rPr>
              <w:t>The shares of Common Stock reflected in the above table as to each Selling Stockholder consist of the following: (i) two-thirds of such shares represent shares of Common Stock issuable upon conversion of shares of Series D Convertible Preferred Stock held by the Selling Stockholder and (ii) one-third of such shares are shares of Common Stock issuable upon exercise of the Warrants held by the Selling Stockholder. The number of shares of Common Stock issuable upon conversion of the Series D may be increased based on certain adjustment provisions set forth in the Series D, as described under “</w:t>
            </w:r>
            <w:hyperlink w:anchor="s1_018">
              <w:r>
                <w:rPr>
                  <w:rStyle w:val="InternetLink"/>
                  <w:sz w:val="20"/>
                </w:rPr>
                <w:t>Description of Our Securities</w:t>
              </w:r>
            </w:hyperlink>
            <w:r>
              <w:rPr>
                <w:sz w:val="20"/>
              </w:rPr>
              <w:t>.” The Series D and Warrants held by each Selling Stockholder are subject to beneficial ownership limitations.</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(3)</w:t>
            </w:r>
          </w:p>
        </w:tc>
        <w:tc>
          <w:tcPr>
            <w:tcW w:w="9997" w:type="dxa"/>
            <w:tcBorders/>
            <w:vAlign w:val="center"/>
          </w:tcPr>
          <w:p>
            <w:pPr>
              <w:pStyle w:val="TableContents"/>
              <w:bidi w:val="0"/>
              <w:spacing w:before="0" w:after="283"/>
              <w:jc w:val="both"/>
              <w:rPr>
                <w:sz w:val="20"/>
              </w:rPr>
            </w:pPr>
            <w:r>
              <w:rPr>
                <w:sz w:val="20"/>
              </w:rPr>
              <w:t>The shares of Common Stock reflected in the above table as to the Selling Stockholder consists of shares of Common Stock issuable upon exercise of the Warrants held by the Selling Stockholder.</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sz w:val="20"/>
              </w:rPr>
            </w:pPr>
            <w:r>
              <w:rPr>
                <w:sz w:val="20"/>
              </w:rPr>
              <w:t>(4)</w:t>
            </w:r>
          </w:p>
        </w:tc>
        <w:tc>
          <w:tcPr>
            <w:tcW w:w="9997"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The shares of Common Stock reflected in the above table as to the Selling Stockholder consist of shares of Common Stock issuable upon conversion of shares of Series C Convertible Preferred Stock held by the Selling Stockholder. See “</w:t>
            </w:r>
            <w:hyperlink w:anchor="conversionags">
              <w:r>
                <w:rPr>
                  <w:rStyle w:val="InternetLink"/>
                  <w:rFonts w:ascii="Times New Roman;Times;Serif" w:hAnsi="Times New Roman;Times;Serif"/>
                  <w:b w:val="false"/>
                  <w:i w:val="false"/>
                  <w:caps w:val="false"/>
                  <w:smallCaps w:val="false"/>
                  <w:sz w:val="20"/>
                </w:rPr>
                <w:t>The Private Placements — Conversion Agreements</w:t>
              </w:r>
            </w:hyperlink>
            <w:r>
              <w:rPr>
                <w:rFonts w:ascii="Times New Roman;Times;Serif" w:hAnsi="Times New Roman;Times;Serif"/>
                <w:b w:val="false"/>
                <w:i w:val="false"/>
                <w:caps w:val="false"/>
                <w:smallCaps w:val="false"/>
                <w:sz w:val="20"/>
              </w:rPr>
              <w:t>” at page 40. The Selling Stockholder provided legal services to the Company in connection with various legal matters and its business address is 155 Seaport Boulevard, Boston, MA 02210.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amounts reflected in the above table do not give effect to the beneficial ownership limitation in the Series C, Series D, or Warrants which is initially 4.99%, but may be increased to 9.99% upon written notice to the Company provided that (i) any such increase will not be effective until the 61st day after such notice is delivered to the Company, and (ii) any such increase or decrease will apply only to such holder sending such notice and not to any other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See “</w:t>
      </w:r>
      <w:hyperlink w:anchor="s1_007">
        <w:r>
          <w:rPr>
            <w:rStyle w:val="InternetLink"/>
            <w:rFonts w:ascii="Times New Roman;Times;Serif" w:hAnsi="Times New Roman;Times;Serif"/>
            <w:b w:val="false"/>
            <w:i w:val="false"/>
            <w:caps w:val="false"/>
            <w:smallCaps w:val="false"/>
            <w:sz w:val="20"/>
          </w:rPr>
          <w:t>The Private Placements</w:t>
        </w:r>
      </w:hyperlink>
      <w:r>
        <w:rPr>
          <w:rFonts w:ascii="Times New Roman;Times;Serif" w:hAnsi="Times New Roman;Times;Serif"/>
          <w:b w:val="false"/>
          <w:i w:val="false"/>
          <w:caps w:val="false"/>
          <w:smallCaps w:val="false"/>
          <w:sz w:val="20"/>
        </w:rPr>
        <w:t>” at page 40 for a description of transactions pursuant to which the Selling Stockholders obtained the shares of Common Stock and the Convertible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s1_020"/>
      <w:bookmarkEnd w:id="37"/>
      <w:r>
        <w:rPr>
          <w:rFonts w:ascii="Times New Roman;Times;Serif" w:hAnsi="Times New Roman;Times;Serif"/>
          <w:b/>
          <w:i w:val="false"/>
          <w:caps w:val="false"/>
          <w:smallCaps w:val="false"/>
          <w:sz w:val="20"/>
        </w:rPr>
        <w:t>DISCLOSURE OF COMMISSION POSITION 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720" w:right="0" w:hanging="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under the Securities Act may be permitted to officers, directors or persons controlling the Company pursuant to the foregoing provisions, the Company has been informed that is it is the opinion of the SEC that such indemnification is against public policy as expressed in such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s1_021"/>
      <w:bookmarkEnd w:id="38"/>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litigation that arises through the normal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s1_022"/>
      <w:bookmarkEnd w:id="3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by this Prospectus will be passed upon for us by Nason, Yeager, Gerson, Harris, &amp; Fumero, P.A., Palm Beach Gardens,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s1_023"/>
      <w:bookmarkEnd w:id="40"/>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 independent registered public accounting firm, has audited the consolidated financial statements of the Company as of December 31, 2025 and 2024 and for the years ended December 31, 2025 and 2024, as set forth in their report included herein. The report of Weinberg &amp; Company, P.A. contains an explanatory paragraph about the ability of the Company to continue as a going concern. The consolidated financial statements of the Company are included in this Prospectus and elsewhere in this registration statement in reliance of Weinberg &amp; Company, P.A.’s report, given 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s1_024"/>
      <w:bookmarkEnd w:id="4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including exhibits, under the Securities Act of 1933, as amended, with respect to the shares of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the Company, at www.sec.gov/EDGAR. You may also access our reports and proxy statements free of charge at our website, zapataquantum.com. The contents of our website are not part of this Prospectus, and the reference to our website does not constitute incorporation by reference into this Prospectus of the information contained on or through that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 copy of any of our filings, at no cost, by contacting us at: 6 Liberty Square, #2488, Boston, MA 02109.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s1_025"/>
      <w:bookmarkEnd w:id="42"/>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2"/>
        <w:gridCol w:w="60"/>
        <w:gridCol w:w="377"/>
        <w:gridCol w:w="76"/>
      </w:tblGrid>
      <w:tr>
        <w:trPr/>
        <w:tc>
          <w:tcPr>
            <w:tcW w:w="969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Unaudited Condensed Financial Statements</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1">
              <w:r>
                <w:rPr>
                  <w:rStyle w:val="InternetLink"/>
                  <w:rFonts w:ascii="Times New Roman;Times;Serif" w:hAnsi="Times New Roman;Times;Serif"/>
                  <w:sz w:val="20"/>
                </w:rPr>
                <w:t>Condensed Consolidated Balance Sheets as of March 31, 2026 and December 31,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F-2</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2">
              <w:r>
                <w:rPr>
                  <w:rStyle w:val="InternetLink"/>
                  <w:rFonts w:ascii="Times New Roman;Times;Serif" w:hAnsi="Times New Roman;Times;Serif"/>
                  <w:sz w:val="20"/>
                </w:rPr>
                <w:t>Condensed Consolidated Statements of Operations and Comprehensive Loss for the Three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F-3</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3">
              <w:r>
                <w:rPr>
                  <w:rStyle w:val="InternetLink"/>
                  <w:rFonts w:ascii="Times New Roman;Times;Serif" w:hAnsi="Times New Roman;Times;Serif"/>
                  <w:sz w:val="20"/>
                </w:rPr>
                <w:t>Condensed Consolidated Statements of Changes of Stockholders’ Deficit for the Three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F-4</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4">
              <w:r>
                <w:rPr>
                  <w:rStyle w:val="InternetLink"/>
                  <w:rFonts w:ascii="Times New Roman;Times;Serif" w:hAnsi="Times New Roman;Times;Serif"/>
                  <w:sz w:val="20"/>
                </w:rPr>
                <w:t>Condensed Consolidated Statements of Cash Flows for the Three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q1_005">
              <w:r>
                <w:rPr>
                  <w:rStyle w:val="InternetLink"/>
                  <w:rFonts w:ascii="Times New Roman;Times;Serif" w:hAnsi="Times New Roman;Times;Serif"/>
                  <w:sz w:val="20"/>
                </w:rPr>
                <w:t>Notes to Condensed Consolidated Financial Statements</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F-6</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Financial Statements</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#572)</w:t>
            </w:r>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F-14</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Consolidated Balance Sheets as of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F-15</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Consolidated Statements of Operations and Comprehensive Income (Loss) for the Years Ended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F-16</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Consolidated Statements of Changes of Stockholders’ Deficit for the Years Ended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F-17</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Consolidated Statements of Cash Flows for the Years Ended December 31, 2025 and 2024</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F-18</w:t>
            </w:r>
          </w:p>
        </w:tc>
        <w:tc>
          <w:tcPr>
            <w:tcW w:w="76" w:type="dxa"/>
            <w:tcBorders/>
            <w:shd w:fill="CCEEFF" w:val="clear"/>
            <w:vAlign w:val="center"/>
          </w:tcPr>
          <w:p>
            <w:pPr>
              <w:pStyle w:val="TableContents"/>
              <w:bidi w:val="0"/>
              <w:spacing w:before="0" w:after="283"/>
              <w:jc w:val="both"/>
              <w:rPr/>
            </w:pPr>
            <w:r>
              <w:rPr/>
              <w:t> </w:t>
            </w:r>
          </w:p>
        </w:tc>
      </w:tr>
      <w:tr>
        <w:trPr/>
        <w:tc>
          <w:tcPr>
            <w:tcW w:w="9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37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both"/>
              <w:rPr/>
            </w:pPr>
            <w:r>
              <w:rPr/>
              <w:t> </w:t>
            </w:r>
          </w:p>
        </w:tc>
      </w:tr>
      <w:tr>
        <w:trPr/>
        <w:tc>
          <w:tcPr>
            <w:tcW w:w="9692"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both"/>
              <w:rPr/>
            </w:pPr>
            <w:r>
              <w:rPr/>
              <w:t> </w:t>
            </w:r>
          </w:p>
        </w:tc>
        <w:tc>
          <w:tcPr>
            <w:tcW w:w="3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F-19</w:t>
            </w:r>
          </w:p>
        </w:tc>
        <w:tc>
          <w:tcPr>
            <w:tcW w:w="76"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q1_001"/>
      <w:bookmarkEnd w:id="43"/>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p>
      <w:pPr>
        <w:pStyle w:val="Normal"/>
        <w:bidi w:val="0"/>
        <w:spacing w:before="0" w:after="0"/>
        <w:jc w:val="left"/>
        <w:rPr>
          <w:sz w:val="4"/>
          <w:szCs w:val="4"/>
        </w:rPr>
      </w:pPr>
      <w:r>
        <w:rPr>
          <w:sz w:val="4"/>
          <w:szCs w:val="4"/>
        </w:rPr>
      </w:r>
      <w:bookmarkStart w:id="44" w:name="xdx_302_111_pn3n3_zz0r7bboKLx6"/>
      <w:bookmarkStart w:id="45" w:name="xdx_302_111_pn3n3_zz0r7bboKLx6"/>
      <w:bookmarkEnd w:id="45"/>
    </w:p>
    <w:tbl>
      <w:tblPr>
        <w:tblW w:w="10205" w:type="dxa"/>
        <w:jc w:val="left"/>
        <w:tblInd w:w="0" w:type="dxa"/>
        <w:tblLayout w:type="fixed"/>
        <w:tblCellMar>
          <w:top w:w="0" w:type="dxa"/>
          <w:left w:w="0" w:type="dxa"/>
          <w:bottom w:w="0" w:type="dxa"/>
          <w:right w:w="0" w:type="dxa"/>
        </w:tblCellMar>
      </w:tblPr>
      <w:tblGrid>
        <w:gridCol w:w="7797"/>
        <w:gridCol w:w="60"/>
        <w:gridCol w:w="125"/>
        <w:gridCol w:w="977"/>
        <w:gridCol w:w="80"/>
        <w:gridCol w:w="60"/>
        <w:gridCol w:w="143"/>
        <w:gridCol w:w="867"/>
        <w:gridCol w:w="96"/>
      </w:tblGrid>
      <w:tr>
        <w:trPr/>
        <w:tc>
          <w:tcPr>
            <w:tcW w:w="7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 w:name="xdx_497_20260331_zBtG2E2je1B8"/>
            <w:bookmarkEnd w:id="46"/>
          </w:p>
        </w:tc>
        <w:tc>
          <w:tcPr>
            <w:tcW w:w="1102"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 w:name="xdx_491_20251231_zY3LqPnFCTFf"/>
            <w:bookmarkEnd w:id="47"/>
          </w:p>
        </w:tc>
        <w:tc>
          <w:tcPr>
            <w:tcW w:w="1010"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r>
      <w:tr>
        <w:trPr/>
        <w:tc>
          <w:tcPr>
            <w:tcW w:w="7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96" w:type="dxa"/>
            <w:tcBorders/>
            <w:vAlign w:val="center"/>
          </w:tcPr>
          <w:p>
            <w:pPr>
              <w:pStyle w:val="TableContents"/>
              <w:bidi w:val="0"/>
              <w:spacing w:before="0" w:after="283"/>
              <w:jc w:val="left"/>
              <w:rPr/>
            </w:pPr>
            <w:r>
              <w:rPr/>
              <w:t> </w:t>
            </w:r>
            <w:bookmarkStart w:id="48" w:name="xdx_40E_eus-gaap--AssetsAbstract_iB_ztED"/>
            <w:bookmarkEnd w:id="48"/>
          </w:p>
        </w:tc>
      </w:tr>
      <w:tr>
        <w:trPr/>
        <w:tc>
          <w:tcPr>
            <w:tcW w:w="7797"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bookmarkStart w:id="49" w:name="xdx_408_eus-gaap--AssetsCurrentAbstract_"/>
            <w:bookmarkEnd w:id="49"/>
          </w:p>
        </w:tc>
      </w:tr>
      <w:tr>
        <w:trPr/>
        <w:tc>
          <w:tcPr>
            <w:tcW w:w="7797" w:type="dxa"/>
            <w:tcBorders/>
            <w:shd w:fill="CCEEFF" w:val="clear"/>
            <w:vAlign w:val="center"/>
          </w:tcPr>
          <w:p>
            <w:pPr>
              <w:pStyle w:val="TableContents"/>
              <w:bidi w:val="0"/>
              <w:spacing w:before="0" w:after="283"/>
              <w:jc w:val="left"/>
              <w:rPr>
                <w:sz w:val="20"/>
              </w:rPr>
            </w:pPr>
            <w:r>
              <w:rPr>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50" w:name="xdx_406_eus-gaap--Cash_i02I_maCzsyD_zB4W"/>
            <w:bookmarkEnd w:id="50"/>
          </w:p>
        </w:tc>
      </w:tr>
      <w:tr>
        <w:trPr/>
        <w:tc>
          <w:tcPr>
            <w:tcW w:w="7797" w:type="dxa"/>
            <w:tcBorders/>
            <w:shd w:fill="FFFFFF" w:val="clear"/>
            <w:vAlign w:val="center"/>
          </w:tcPr>
          <w:p>
            <w:pPr>
              <w:pStyle w:val="TableContents"/>
              <w:bidi w:val="0"/>
              <w:spacing w:before="0" w:after="283"/>
              <w:jc w:val="left"/>
              <w:rPr>
                <w:sz w:val="20"/>
              </w:rPr>
            </w:pPr>
            <w:r>
              <w:rPr>
                <w:sz w:val="20"/>
              </w:rPr>
              <w:t>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77" w:type="dxa"/>
            <w:tcBorders/>
            <w:shd w:fill="FFFFFF" w:val="clear"/>
            <w:vAlign w:val="center"/>
          </w:tcPr>
          <w:p>
            <w:pPr>
              <w:pStyle w:val="TableContents"/>
              <w:bidi w:val="0"/>
              <w:spacing w:before="0" w:after="283"/>
              <w:jc w:val="right"/>
              <w:rPr>
                <w:sz w:val="20"/>
              </w:rPr>
            </w:pPr>
            <w:r>
              <w:rPr>
                <w:sz w:val="20"/>
              </w:rPr>
              <w:t>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sz w:val="20"/>
              </w:rPr>
            </w:pPr>
            <w:r>
              <w:rPr>
                <w:sz w:val="20"/>
              </w:rPr>
              <w:t>$</w:t>
            </w:r>
          </w:p>
        </w:tc>
        <w:tc>
          <w:tcPr>
            <w:tcW w:w="867" w:type="dxa"/>
            <w:tcBorders/>
            <w:shd w:fill="FFFFFF" w:val="clear"/>
            <w:vAlign w:val="center"/>
          </w:tcPr>
          <w:p>
            <w:pPr>
              <w:pStyle w:val="TableContents"/>
              <w:bidi w:val="0"/>
              <w:spacing w:before="0" w:after="283"/>
              <w:jc w:val="right"/>
              <w:rPr>
                <w:sz w:val="20"/>
              </w:rPr>
            </w:pPr>
            <w:r>
              <w:rPr>
                <w:sz w:val="20"/>
              </w:rPr>
              <w:t>1,659</w:t>
            </w:r>
          </w:p>
        </w:tc>
        <w:tc>
          <w:tcPr>
            <w:tcW w:w="96" w:type="dxa"/>
            <w:tcBorders/>
            <w:shd w:fill="FFFFFF" w:val="clear"/>
            <w:vAlign w:val="center"/>
          </w:tcPr>
          <w:p>
            <w:pPr>
              <w:pStyle w:val="TableContents"/>
              <w:bidi w:val="0"/>
              <w:spacing w:before="0" w:after="283"/>
              <w:jc w:val="left"/>
              <w:rPr/>
            </w:pPr>
            <w:r>
              <w:rPr/>
              <w:t> </w:t>
            </w:r>
            <w:bookmarkStart w:id="51" w:name="xdx_405_eus-gaap--PrepaidExpenseAndOther"/>
            <w:bookmarkEnd w:id="51"/>
          </w:p>
        </w:tc>
      </w:tr>
      <w:tr>
        <w:trPr/>
        <w:tc>
          <w:tcPr>
            <w:tcW w:w="7797"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181</w:t>
            </w:r>
          </w:p>
        </w:tc>
        <w:tc>
          <w:tcPr>
            <w:tcW w:w="96" w:type="dxa"/>
            <w:tcBorders/>
            <w:shd w:fill="CCEEFF" w:val="clear"/>
            <w:vAlign w:val="center"/>
          </w:tcPr>
          <w:p>
            <w:pPr>
              <w:pStyle w:val="TableContents"/>
              <w:bidi w:val="0"/>
              <w:spacing w:before="0" w:after="283"/>
              <w:jc w:val="left"/>
              <w:rPr/>
            </w:pPr>
            <w:r>
              <w:rPr/>
              <w:t> </w:t>
            </w:r>
            <w:bookmarkStart w:id="52" w:name="xdx_402_eus-gaap--AssetsCurrent_i02TI_mt"/>
            <w:bookmarkEnd w:id="52"/>
          </w:p>
        </w:tc>
      </w:tr>
      <w:tr>
        <w:trPr/>
        <w:tc>
          <w:tcPr>
            <w:tcW w:w="7797"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1,840</w:t>
            </w:r>
          </w:p>
        </w:tc>
        <w:tc>
          <w:tcPr>
            <w:tcW w:w="96" w:type="dxa"/>
            <w:tcBorders/>
            <w:shd w:fill="FFFFFF" w:val="clear"/>
            <w:vAlign w:val="center"/>
          </w:tcPr>
          <w:p>
            <w:pPr>
              <w:pStyle w:val="TableContents"/>
              <w:bidi w:val="0"/>
              <w:spacing w:before="0" w:after="283"/>
              <w:jc w:val="left"/>
              <w:rPr/>
            </w:pPr>
            <w:r>
              <w:rPr/>
              <w:t> </w:t>
            </w:r>
            <w:bookmarkStart w:id="53" w:name="xdx_400_eus-gaap--OtherAssetsNoncurrent_"/>
            <w:bookmarkEnd w:id="53"/>
          </w:p>
        </w:tc>
      </w:tr>
      <w:tr>
        <w:trPr/>
        <w:tc>
          <w:tcPr>
            <w:tcW w:w="7797" w:type="dxa"/>
            <w:tcBorders/>
            <w:shd w:fill="CCEEFF" w:val="clear"/>
            <w:vAlign w:val="center"/>
          </w:tcPr>
          <w:p>
            <w:pPr>
              <w:pStyle w:val="TableContents"/>
              <w:bidi w:val="0"/>
              <w:spacing w:before="0" w:after="283"/>
              <w:jc w:val="left"/>
              <w:rPr>
                <w:sz w:val="20"/>
              </w:rPr>
            </w:pPr>
            <w:r>
              <w:rPr>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432</w:t>
            </w:r>
          </w:p>
        </w:tc>
        <w:tc>
          <w:tcPr>
            <w:tcW w:w="96" w:type="dxa"/>
            <w:tcBorders/>
            <w:shd w:fill="CCEEFF" w:val="clear"/>
            <w:vAlign w:val="center"/>
          </w:tcPr>
          <w:p>
            <w:pPr>
              <w:pStyle w:val="TableContents"/>
              <w:bidi w:val="0"/>
              <w:spacing w:before="0" w:after="283"/>
              <w:jc w:val="left"/>
              <w:rPr/>
            </w:pPr>
            <w:r>
              <w:rPr/>
              <w:t> </w:t>
            </w:r>
            <w:bookmarkStart w:id="54" w:name="xdx_40F_eus-gaap--Assets_i01TI_mtCz0jn_z"/>
            <w:bookmarkEnd w:id="54"/>
          </w:p>
        </w:tc>
      </w:tr>
      <w:tr>
        <w:trPr/>
        <w:tc>
          <w:tcPr>
            <w:tcW w:w="7797"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2,272</w:t>
            </w:r>
          </w:p>
        </w:tc>
        <w:tc>
          <w:tcPr>
            <w:tcW w:w="96" w:type="dxa"/>
            <w:tcBorders/>
            <w:shd w:fill="FFFFFF" w:val="clear"/>
            <w:vAlign w:val="center"/>
          </w:tcPr>
          <w:p>
            <w:pPr>
              <w:pStyle w:val="TableContents"/>
              <w:bidi w:val="0"/>
              <w:spacing w:before="0" w:after="283"/>
              <w:jc w:val="left"/>
              <w:rPr/>
            </w:pPr>
            <w:r>
              <w:rPr/>
              <w:t> </w:t>
            </w:r>
            <w:bookmarkStart w:id="55" w:name="xdx_407_eus-gaap--LiabilitiesAndStockhol"/>
            <w:bookmarkEnd w:id="55"/>
          </w:p>
        </w:tc>
      </w:tr>
      <w:tr>
        <w:trPr/>
        <w:tc>
          <w:tcPr>
            <w:tcW w:w="7797" w:type="dxa"/>
            <w:tcBorders/>
            <w:shd w:fill="CCEEFF" w:val="clear"/>
            <w:vAlign w:val="center"/>
          </w:tcPr>
          <w:p>
            <w:pPr>
              <w:pStyle w:val="TableContents"/>
              <w:bidi w:val="0"/>
              <w:spacing w:before="0" w:after="283"/>
              <w:jc w:val="left"/>
              <w:rPr>
                <w:b/>
                <w:sz w:val="20"/>
              </w:rPr>
            </w:pPr>
            <w:r>
              <w:rPr>
                <w:b/>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56" w:name="xdx_40B_eus-gaap--LiabilitiesCurrentAbst"/>
            <w:bookmarkEnd w:id="56"/>
          </w:p>
        </w:tc>
      </w:tr>
      <w:tr>
        <w:trPr/>
        <w:tc>
          <w:tcPr>
            <w:tcW w:w="7797"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57" w:name="xdx_403_eus-gaap--AccountsPayableCurrent"/>
            <w:bookmarkEnd w:id="57"/>
          </w:p>
        </w:tc>
      </w:tr>
      <w:tr>
        <w:trPr/>
        <w:tc>
          <w:tcPr>
            <w:tcW w:w="7797"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77" w:type="dxa"/>
            <w:tcBorders/>
            <w:shd w:fill="CCEEFF" w:val="clear"/>
            <w:vAlign w:val="center"/>
          </w:tcPr>
          <w:p>
            <w:pPr>
              <w:pStyle w:val="TableContents"/>
              <w:bidi w:val="0"/>
              <w:spacing w:before="0" w:after="283"/>
              <w:jc w:val="right"/>
              <w:rPr>
                <w:sz w:val="20"/>
              </w:rPr>
            </w:pPr>
            <w:r>
              <w:rPr>
                <w:sz w:val="20"/>
              </w:rPr>
              <w:t>4,070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20"/>
              </w:rPr>
            </w:pPr>
            <w:r>
              <w:rPr>
                <w:sz w:val="20"/>
              </w:rPr>
              <w:t>$</w:t>
            </w:r>
          </w:p>
        </w:tc>
        <w:tc>
          <w:tcPr>
            <w:tcW w:w="867" w:type="dxa"/>
            <w:tcBorders/>
            <w:shd w:fill="CCEEFF" w:val="clear"/>
            <w:vAlign w:val="center"/>
          </w:tcPr>
          <w:p>
            <w:pPr>
              <w:pStyle w:val="TableContents"/>
              <w:bidi w:val="0"/>
              <w:spacing w:before="0" w:after="283"/>
              <w:jc w:val="right"/>
              <w:rPr>
                <w:sz w:val="20"/>
              </w:rPr>
            </w:pPr>
            <w:r>
              <w:rPr>
                <w:sz w:val="20"/>
              </w:rPr>
              <w:t>3,963</w:t>
            </w:r>
          </w:p>
        </w:tc>
        <w:tc>
          <w:tcPr>
            <w:tcW w:w="96" w:type="dxa"/>
            <w:tcBorders/>
            <w:shd w:fill="CCEEFF" w:val="clear"/>
            <w:vAlign w:val="center"/>
          </w:tcPr>
          <w:p>
            <w:pPr>
              <w:pStyle w:val="TableContents"/>
              <w:bidi w:val="0"/>
              <w:spacing w:before="0" w:after="283"/>
              <w:jc w:val="left"/>
              <w:rPr/>
            </w:pPr>
            <w:r>
              <w:rPr/>
              <w:t> </w:t>
            </w:r>
            <w:bookmarkStart w:id="58" w:name="xdx_40E_ecustom--AccruedExpensesAndOther"/>
            <w:bookmarkEnd w:id="58"/>
          </w:p>
        </w:tc>
      </w:tr>
      <w:tr>
        <w:trPr/>
        <w:tc>
          <w:tcPr>
            <w:tcW w:w="7797" w:type="dxa"/>
            <w:tcBorders/>
            <w:shd w:fill="FFFFFF" w:val="clear"/>
            <w:vAlign w:val="center"/>
          </w:tcPr>
          <w:p>
            <w:pPr>
              <w:pStyle w:val="TableContents"/>
              <w:bidi w:val="0"/>
              <w:spacing w:before="0" w:after="283"/>
              <w:jc w:val="left"/>
              <w:rPr>
                <w:sz w:val="20"/>
              </w:rPr>
            </w:pPr>
            <w:r>
              <w:rPr>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1,547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1,764</w:t>
            </w:r>
          </w:p>
        </w:tc>
        <w:tc>
          <w:tcPr>
            <w:tcW w:w="96" w:type="dxa"/>
            <w:tcBorders/>
            <w:shd w:fill="FFFFFF" w:val="clear"/>
            <w:vAlign w:val="center"/>
          </w:tcPr>
          <w:p>
            <w:pPr>
              <w:pStyle w:val="TableContents"/>
              <w:bidi w:val="0"/>
              <w:spacing w:before="0" w:after="283"/>
              <w:jc w:val="left"/>
              <w:rPr/>
            </w:pPr>
            <w:r>
              <w:rPr/>
              <w:t> </w:t>
            </w:r>
            <w:bookmarkStart w:id="59" w:name="xdx_405_eus-gaap--DeferredRevenueCurrent"/>
            <w:bookmarkEnd w:id="59"/>
          </w:p>
        </w:tc>
      </w:tr>
      <w:tr>
        <w:trPr/>
        <w:tc>
          <w:tcPr>
            <w:tcW w:w="7797" w:type="dxa"/>
            <w:tcBorders/>
            <w:shd w:fill="CCEEFF" w:val="clear"/>
            <w:vAlign w:val="center"/>
          </w:tcPr>
          <w:p>
            <w:pPr>
              <w:pStyle w:val="TableContents"/>
              <w:bidi w:val="0"/>
              <w:spacing w:before="0" w:after="283"/>
              <w:jc w:val="left"/>
              <w:rPr>
                <w:sz w:val="20"/>
              </w:rPr>
            </w:pPr>
            <w:r>
              <w:rPr>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406</w:t>
            </w:r>
          </w:p>
        </w:tc>
        <w:tc>
          <w:tcPr>
            <w:tcW w:w="96" w:type="dxa"/>
            <w:tcBorders/>
            <w:shd w:fill="CCEEFF" w:val="clear"/>
            <w:vAlign w:val="center"/>
          </w:tcPr>
          <w:p>
            <w:pPr>
              <w:pStyle w:val="TableContents"/>
              <w:bidi w:val="0"/>
              <w:spacing w:before="0" w:after="283"/>
              <w:jc w:val="left"/>
              <w:rPr/>
            </w:pPr>
            <w:r>
              <w:rPr/>
              <w:t> </w:t>
            </w:r>
            <w:bookmarkStart w:id="60" w:name="xdx_40F_ecustom--ConvertiblePromissoryNo"/>
            <w:bookmarkEnd w:id="60"/>
          </w:p>
        </w:tc>
      </w:tr>
      <w:tr>
        <w:trPr/>
        <w:tc>
          <w:tcPr>
            <w:tcW w:w="7797" w:type="dxa"/>
            <w:tcBorders/>
            <w:shd w:fill="FFFFFF" w:val="clear"/>
            <w:vAlign w:val="center"/>
          </w:tcPr>
          <w:p>
            <w:pPr>
              <w:pStyle w:val="TableContents"/>
              <w:bidi w:val="0"/>
              <w:spacing w:before="0" w:after="283"/>
              <w:jc w:val="left"/>
              <w:rPr>
                <w:sz w:val="20"/>
              </w:rPr>
            </w:pPr>
            <w:r>
              <w:rPr>
                <w:sz w:val="20"/>
              </w:rPr>
              <w:t>Convertible promissory notes, current ($</w:t>
            </w:r>
            <w:bookmarkStart w:id="61" w:name="xdx_90F_ecustom--ConvertiblePromissoryNo"/>
            <w:bookmarkStart w:id="62" w:name="xdx_90C_ecustom--ConvertiblePromissoryNo"/>
            <w:bookmarkEnd w:id="61"/>
            <w:bookmarkEnd w:id="62"/>
            <w:r>
              <w:rPr>
                <w:sz w:val="20"/>
              </w:rPr>
              <w:t>300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3,227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3,133</w:t>
            </w:r>
          </w:p>
        </w:tc>
        <w:tc>
          <w:tcPr>
            <w:tcW w:w="96" w:type="dxa"/>
            <w:tcBorders/>
            <w:shd w:fill="FFFFFF" w:val="clear"/>
            <w:vAlign w:val="center"/>
          </w:tcPr>
          <w:p>
            <w:pPr>
              <w:pStyle w:val="TableContents"/>
              <w:bidi w:val="0"/>
              <w:spacing w:before="0" w:after="283"/>
              <w:jc w:val="left"/>
              <w:rPr/>
            </w:pPr>
            <w:r>
              <w:rPr/>
              <w:t> </w:t>
            </w:r>
            <w:bookmarkStart w:id="63" w:name="xdx_403_ecustom--SeniorSecuredNotesCurre"/>
            <w:bookmarkEnd w:id="63"/>
          </w:p>
        </w:tc>
      </w:tr>
      <w:tr>
        <w:trPr/>
        <w:tc>
          <w:tcPr>
            <w:tcW w:w="7797" w:type="dxa"/>
            <w:tcBorders/>
            <w:shd w:fill="CCEEFF" w:val="clear"/>
            <w:vAlign w:val="center"/>
          </w:tcPr>
          <w:p>
            <w:pPr>
              <w:pStyle w:val="TableContents"/>
              <w:bidi w:val="0"/>
              <w:spacing w:before="0" w:after="283"/>
              <w:jc w:val="left"/>
              <w:rPr>
                <w:sz w:val="20"/>
              </w:rPr>
            </w:pPr>
            <w:r>
              <w:rPr>
                <w:sz w:val="20"/>
              </w:rPr>
              <w:t>Senior secured notes,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1,273</w:t>
            </w:r>
          </w:p>
        </w:tc>
        <w:tc>
          <w:tcPr>
            <w:tcW w:w="96" w:type="dxa"/>
            <w:tcBorders/>
            <w:shd w:fill="CCEEFF" w:val="clear"/>
            <w:vAlign w:val="center"/>
          </w:tcPr>
          <w:p>
            <w:pPr>
              <w:pStyle w:val="TableContents"/>
              <w:bidi w:val="0"/>
              <w:spacing w:before="0" w:after="283"/>
              <w:jc w:val="left"/>
              <w:rPr/>
            </w:pPr>
            <w:r>
              <w:rPr/>
              <w:t> </w:t>
            </w:r>
            <w:bookmarkStart w:id="64" w:name="xdx_408_eus-gaap--Liabilities_i01TI_mtLz"/>
            <w:bookmarkEnd w:id="64"/>
          </w:p>
        </w:tc>
      </w:tr>
      <w:tr>
        <w:trPr/>
        <w:tc>
          <w:tcPr>
            <w:tcW w:w="7797"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10,539</w:t>
            </w:r>
          </w:p>
        </w:tc>
        <w:tc>
          <w:tcPr>
            <w:tcW w:w="96" w:type="dxa"/>
            <w:tcBorders/>
            <w:shd w:fill="FFFFFF" w:val="clear"/>
            <w:vAlign w:val="center"/>
          </w:tcPr>
          <w:p>
            <w:pPr>
              <w:pStyle w:val="TableContents"/>
              <w:bidi w:val="0"/>
              <w:spacing w:before="0" w:after="283"/>
              <w:jc w:val="left"/>
              <w:rPr/>
            </w:pPr>
            <w:r>
              <w:rPr/>
              <w:t> </w:t>
            </w:r>
            <w:bookmarkStart w:id="65" w:name="xdx_40E_eus-gaap--CommitmentsAndContinge"/>
            <w:bookmarkEnd w:id="65"/>
          </w:p>
        </w:tc>
      </w:tr>
      <w:tr>
        <w:trPr/>
        <w:tc>
          <w:tcPr>
            <w:tcW w:w="7797" w:type="dxa"/>
            <w:tcBorders/>
            <w:shd w:fill="CCEEFF" w:val="clear"/>
            <w:vAlign w:val="center"/>
          </w:tcPr>
          <w:p>
            <w:pPr>
              <w:pStyle w:val="TableContents"/>
              <w:bidi w:val="0"/>
              <w:spacing w:before="0" w:after="283"/>
              <w:jc w:val="left"/>
              <w:rPr>
                <w:sz w:val="20"/>
              </w:rPr>
            </w:pPr>
            <w:r>
              <w:rPr>
                <w:sz w:val="20"/>
              </w:rPr>
              <w:t>Commitments and contingencies (Note 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66" w:name="xdx_40A_eus-gaap--StockholdersEquityAbst"/>
            <w:bookmarkEnd w:id="66"/>
          </w:p>
        </w:tc>
      </w:tr>
      <w:tr>
        <w:trPr/>
        <w:tc>
          <w:tcPr>
            <w:tcW w:w="7797" w:type="dxa"/>
            <w:tcBorders/>
            <w:shd w:fill="FFFFFF" w:val="clear"/>
            <w:vAlign w:val="center"/>
          </w:tcPr>
          <w:p>
            <w:pPr>
              <w:pStyle w:val="TableContents"/>
              <w:bidi w:val="0"/>
              <w:spacing w:before="0" w:after="283"/>
              <w:jc w:val="left"/>
              <w:rPr>
                <w:sz w:val="20"/>
              </w:rPr>
            </w:pPr>
            <w:r>
              <w:rPr>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sz w:val="20"/>
              </w:rPr>
            </w:pPr>
            <w:r>
              <w:rPr>
                <w:sz w:val="20"/>
              </w:rPr>
              <w:t>Convertible preferred stock (Series A), $</w:t>
            </w:r>
            <w:bookmarkStart w:id="67" w:name="xdx_90E_eus-gaap--PreferredStockParOrSta"/>
            <w:bookmarkStart w:id="68" w:name="xdx_905_eus-gaap--PreferredStockParOrSta"/>
            <w:bookmarkEnd w:id="67"/>
            <w:bookmarkEnd w:id="68"/>
            <w:r>
              <w:rPr>
                <w:sz w:val="20"/>
              </w:rPr>
              <w:t xml:space="preserve">0.0001 par value; </w:t>
            </w:r>
            <w:bookmarkStart w:id="69" w:name="xdx_905_eus-gaap--PreferredStockSharesAu"/>
            <w:bookmarkStart w:id="70" w:name="xdx_907_eus-gaap--PreferredStockSharesAu"/>
            <w:bookmarkEnd w:id="69"/>
            <w:bookmarkEnd w:id="70"/>
            <w:r>
              <w:rPr>
                <w:sz w:val="20"/>
              </w:rPr>
              <w:t xml:space="preserve">15,000 shares authorized; </w:t>
            </w:r>
            <w:bookmarkStart w:id="71" w:name="xdx_906_eus-gaap--PreferredStockSharesOu"/>
            <w:bookmarkStart w:id="72" w:name="xdx_90F_eus-gaap--PreferredStockSharesIs"/>
            <w:bookmarkEnd w:id="71"/>
            <w:bookmarkEnd w:id="72"/>
            <w:r>
              <w:rPr>
                <w:sz w:val="20"/>
              </w:rPr>
              <w:t xml:space="preserve">15,000 and </w:t>
            </w:r>
            <w:bookmarkStart w:id="73" w:name="xdx_90B_eus-gaap--PreferredStockSharesOu"/>
            <w:bookmarkStart w:id="74" w:name="xdx_908_eus-gaap--PreferredStockSharesIs"/>
            <w:bookmarkEnd w:id="73"/>
            <w:bookmarkEnd w:id="74"/>
            <w:r>
              <w:rPr>
                <w:sz w:val="20"/>
              </w:rPr>
              <w:t>15,000 shares issued and outstanding at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bookmarkStart w:id="75" w:name="xdx_908_eus-gaap--RedeemableNoncontrolli"/>
            <w:bookmarkEnd w:id="75"/>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bookmarkStart w:id="76" w:name="xdx_904_eus-gaap--RedeemableNoncontrolli"/>
            <w:bookmarkEnd w:id="76"/>
            <w:r>
              <w:rPr/>
              <w:t>—</w:t>
            </w:r>
          </w:p>
        </w:tc>
        <w:tc>
          <w:tcPr>
            <w:tcW w:w="96"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sz w:val="20"/>
              </w:rPr>
            </w:pPr>
            <w:r>
              <w:rPr>
                <w:sz w:val="20"/>
              </w:rPr>
              <w:t>Convertible preferred stock (Series C), $</w:t>
            </w:r>
            <w:bookmarkStart w:id="77" w:name="xdx_909_eus-gaap--PreferredStockParOrSta"/>
            <w:bookmarkStart w:id="78" w:name="xdx_905_eus-gaap--PreferredStockParOrSta"/>
            <w:bookmarkEnd w:id="77"/>
            <w:bookmarkEnd w:id="78"/>
            <w:r>
              <w:rPr>
                <w:sz w:val="20"/>
              </w:rPr>
              <w:t xml:space="preserve">0.0001 par value; </w:t>
            </w:r>
            <w:bookmarkStart w:id="79" w:name="xdx_908_eus-gaap--PreferredStockSharesAu"/>
            <w:bookmarkStart w:id="80" w:name="xdx_90B_eus-gaap--PreferredStockSharesAu"/>
            <w:bookmarkEnd w:id="79"/>
            <w:bookmarkEnd w:id="80"/>
            <w:r>
              <w:rPr>
                <w:sz w:val="20"/>
              </w:rPr>
              <w:t xml:space="preserve">23,000 shares authorized; </w:t>
            </w:r>
            <w:bookmarkStart w:id="81" w:name="xdx_90A_eus-gaap--PreferredStockSharesOu"/>
            <w:bookmarkStart w:id="82" w:name="xdx_901_eus-gaap--PreferredStockSharesIs"/>
            <w:bookmarkEnd w:id="81"/>
            <w:bookmarkEnd w:id="82"/>
            <w:r>
              <w:rPr>
                <w:sz w:val="20"/>
              </w:rPr>
              <w:t xml:space="preserve">11,983 and </w:t>
            </w:r>
            <w:bookmarkStart w:id="83" w:name="xdx_905_eus-gaap--PreferredStockSharesOu"/>
            <w:bookmarkStart w:id="84" w:name="xdx_904_eus-gaap--PreferredStockSharesIs"/>
            <w:bookmarkEnd w:id="83"/>
            <w:bookmarkEnd w:id="84"/>
            <w:r>
              <w:rPr>
                <w:sz w:val="20"/>
              </w:rPr>
              <w:t>11,983 shares issued and outstanding at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bookmarkStart w:id="85" w:name="xdx_90C_eus-gaap--RedeemableNoncontrolli"/>
            <w:bookmarkEnd w:id="85"/>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bookmarkStart w:id="86" w:name="xdx_90A_eus-gaap--RedeemableNoncontrolli"/>
            <w:bookmarkEnd w:id="86"/>
            <w:r>
              <w:rPr/>
              <w:t>—</w:t>
            </w:r>
          </w:p>
        </w:tc>
        <w:tc>
          <w:tcPr>
            <w:tcW w:w="96" w:type="dxa"/>
            <w:tcBorders/>
            <w:shd w:fill="FFFFFF" w:val="clear"/>
            <w:vAlign w:val="center"/>
          </w:tcPr>
          <w:p>
            <w:pPr>
              <w:pStyle w:val="TableContents"/>
              <w:bidi w:val="0"/>
              <w:spacing w:before="0" w:after="283"/>
              <w:jc w:val="left"/>
              <w:rPr/>
            </w:pPr>
            <w:r>
              <w:rPr/>
              <w:t> </w:t>
            </w:r>
            <w:bookmarkStart w:id="87" w:name="xdx_408_eus-gaap--CommonStockValue_i02I_"/>
            <w:bookmarkEnd w:id="87"/>
          </w:p>
        </w:tc>
      </w:tr>
      <w:tr>
        <w:trPr/>
        <w:tc>
          <w:tcPr>
            <w:tcW w:w="7797" w:type="dxa"/>
            <w:tcBorders/>
            <w:shd w:fill="CCEEFF" w:val="clear"/>
            <w:vAlign w:val="center"/>
          </w:tcPr>
          <w:p>
            <w:pPr>
              <w:pStyle w:val="TableContents"/>
              <w:bidi w:val="0"/>
              <w:spacing w:before="0" w:after="283"/>
              <w:jc w:val="left"/>
              <w:rPr>
                <w:sz w:val="20"/>
              </w:rPr>
            </w:pPr>
            <w:r>
              <w:rPr>
                <w:sz w:val="20"/>
              </w:rPr>
              <w:t>Common Stock, $</w:t>
            </w:r>
            <w:bookmarkStart w:id="88" w:name="xdx_902_eus-gaap--CommonStockParOrStated"/>
            <w:bookmarkStart w:id="89" w:name="xdx_90E_eus-gaap--CommonStockParOrStated"/>
            <w:bookmarkEnd w:id="88"/>
            <w:bookmarkEnd w:id="89"/>
            <w:r>
              <w:rPr>
                <w:sz w:val="20"/>
              </w:rPr>
              <w:t xml:space="preserve">0.0001 par value; </w:t>
            </w:r>
            <w:bookmarkStart w:id="90" w:name="xdx_900_eus-gaap--CommonStockSharesAutho"/>
            <w:bookmarkStart w:id="91" w:name="xdx_906_eus-gaap--CommonStockSharesAutho"/>
            <w:bookmarkEnd w:id="90"/>
            <w:bookmarkEnd w:id="91"/>
            <w:r>
              <w:rPr>
                <w:sz w:val="20"/>
              </w:rPr>
              <w:t xml:space="preserve">600,000,000 shares authorized; </w:t>
            </w:r>
            <w:bookmarkStart w:id="92" w:name="xdx_909_eus-gaap--CommonStockSharesOutst"/>
            <w:bookmarkStart w:id="93" w:name="xdx_903_eus-gaap--CommonStockSharesIssue"/>
            <w:bookmarkEnd w:id="92"/>
            <w:bookmarkEnd w:id="93"/>
            <w:r>
              <w:rPr>
                <w:sz w:val="20"/>
              </w:rPr>
              <w:t xml:space="preserve">172,318,506 and </w:t>
            </w:r>
            <w:bookmarkStart w:id="94" w:name="xdx_906_eus-gaap--CommonStockSharesOutst"/>
            <w:bookmarkStart w:id="95" w:name="xdx_90B_eus-gaap--CommonStockSharesIssue"/>
            <w:bookmarkEnd w:id="94"/>
            <w:bookmarkEnd w:id="95"/>
            <w:r>
              <w:rPr>
                <w:sz w:val="20"/>
              </w:rPr>
              <w:t>172,318,506 shares issued and outstanding at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17</w:t>
            </w:r>
          </w:p>
        </w:tc>
        <w:tc>
          <w:tcPr>
            <w:tcW w:w="96" w:type="dxa"/>
            <w:tcBorders/>
            <w:shd w:fill="CCEEFF" w:val="clear"/>
            <w:vAlign w:val="center"/>
          </w:tcPr>
          <w:p>
            <w:pPr>
              <w:pStyle w:val="TableContents"/>
              <w:bidi w:val="0"/>
              <w:spacing w:before="0" w:after="283"/>
              <w:jc w:val="left"/>
              <w:rPr/>
            </w:pPr>
            <w:r>
              <w:rPr/>
              <w:t> </w:t>
            </w:r>
            <w:bookmarkStart w:id="96" w:name="xdx_408_eus-gaap--AdditionalPaidInCapita"/>
            <w:bookmarkEnd w:id="96"/>
          </w:p>
        </w:tc>
      </w:tr>
      <w:tr>
        <w:trPr/>
        <w:tc>
          <w:tcPr>
            <w:tcW w:w="7797"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sz w:val="20"/>
              </w:rPr>
            </w:pPr>
            <w:r>
              <w:rPr>
                <w:sz w:val="20"/>
              </w:rPr>
              <w:t>110,449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110,211</w:t>
            </w:r>
          </w:p>
        </w:tc>
        <w:tc>
          <w:tcPr>
            <w:tcW w:w="96" w:type="dxa"/>
            <w:tcBorders/>
            <w:shd w:fill="FFFFFF" w:val="clear"/>
            <w:vAlign w:val="center"/>
          </w:tcPr>
          <w:p>
            <w:pPr>
              <w:pStyle w:val="TableContents"/>
              <w:bidi w:val="0"/>
              <w:spacing w:before="0" w:after="283"/>
              <w:jc w:val="left"/>
              <w:rPr/>
            </w:pPr>
            <w:r>
              <w:rPr/>
              <w:t> </w:t>
            </w:r>
            <w:bookmarkStart w:id="97" w:name="xdx_409_eus-gaap--AccumulatedOtherCompre"/>
            <w:bookmarkEnd w:id="97"/>
          </w:p>
        </w:tc>
      </w:tr>
      <w:tr>
        <w:trPr/>
        <w:tc>
          <w:tcPr>
            <w:tcW w:w="7797"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(180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(162</w:t>
            </w:r>
          </w:p>
        </w:tc>
        <w:tc>
          <w:tcPr>
            <w:tcW w:w="96" w:type="dxa"/>
            <w:tcBorders/>
            <w:shd w:fill="CCEEFF" w:val="clear"/>
            <w:vAlign w:val="center"/>
          </w:tcPr>
          <w:p>
            <w:pPr>
              <w:pStyle w:val="TableContents"/>
              <w:bidi w:val="0"/>
              <w:spacing w:before="0" w:after="283"/>
              <w:jc w:val="left"/>
              <w:rPr>
                <w:sz w:val="20"/>
              </w:rPr>
            </w:pPr>
            <w:r>
              <w:rPr>
                <w:sz w:val="20"/>
              </w:rPr>
              <w:t>)</w:t>
            </w:r>
            <w:bookmarkStart w:id="98" w:name="xdx_406_eus-gaap--RetainedEarningsAccumu"/>
            <w:bookmarkEnd w:id="98"/>
          </w:p>
        </w:tc>
      </w:tr>
      <w:tr>
        <w:trPr/>
        <w:tc>
          <w:tcPr>
            <w:tcW w:w="7797"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(119,643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(118,333</w:t>
            </w:r>
          </w:p>
        </w:tc>
        <w:tc>
          <w:tcPr>
            <w:tcW w:w="96" w:type="dxa"/>
            <w:tcBorders/>
            <w:shd w:fill="FFFFFF" w:val="clear"/>
            <w:vAlign w:val="center"/>
          </w:tcPr>
          <w:p>
            <w:pPr>
              <w:pStyle w:val="TableContents"/>
              <w:bidi w:val="0"/>
              <w:spacing w:before="0" w:after="283"/>
              <w:jc w:val="left"/>
              <w:rPr>
                <w:sz w:val="20"/>
              </w:rPr>
            </w:pPr>
            <w:r>
              <w:rPr>
                <w:sz w:val="20"/>
              </w:rPr>
              <w:t>)</w:t>
            </w:r>
            <w:bookmarkStart w:id="99" w:name="xdx_404_eus-gaap--StockholdersEquity_i02"/>
            <w:bookmarkEnd w:id="99"/>
          </w:p>
        </w:tc>
      </w:tr>
      <w:tr>
        <w:trPr/>
        <w:tc>
          <w:tcPr>
            <w:tcW w:w="7797" w:type="dxa"/>
            <w:tcBorders/>
            <w:shd w:fill="CCEEFF" w:val="clear"/>
            <w:vAlign w:val="center"/>
          </w:tcPr>
          <w:p>
            <w:pPr>
              <w:pStyle w:val="TableContents"/>
              <w:bidi w:val="0"/>
              <w:spacing w:before="0" w:after="283"/>
              <w:jc w:val="left"/>
              <w:rPr>
                <w:sz w:val="20"/>
              </w:rPr>
            </w:pPr>
            <w:r>
              <w:rPr>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(9,357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(8,267</w:t>
            </w:r>
          </w:p>
        </w:tc>
        <w:tc>
          <w:tcPr>
            <w:tcW w:w="96" w:type="dxa"/>
            <w:tcBorders/>
            <w:shd w:fill="CCEEFF" w:val="clear"/>
            <w:vAlign w:val="center"/>
          </w:tcPr>
          <w:p>
            <w:pPr>
              <w:pStyle w:val="TableContents"/>
              <w:bidi w:val="0"/>
              <w:spacing w:before="0" w:after="283"/>
              <w:jc w:val="left"/>
              <w:rPr>
                <w:sz w:val="20"/>
              </w:rPr>
            </w:pPr>
            <w:r>
              <w:rPr>
                <w:sz w:val="20"/>
              </w:rPr>
              <w:t>)</w:t>
            </w:r>
            <w:bookmarkStart w:id="100" w:name="xdx_40B_eus-gaap--LiabilitiesAndStockhol"/>
            <w:bookmarkEnd w:id="100"/>
          </w:p>
        </w:tc>
      </w:tr>
      <w:tr>
        <w:trPr/>
        <w:tc>
          <w:tcPr>
            <w:tcW w:w="7797" w:type="dxa"/>
            <w:tcBorders/>
            <w:shd w:fill="FFFFFF" w:val="clear"/>
            <w:vAlign w:val="center"/>
          </w:tcPr>
          <w:p>
            <w:pPr>
              <w:pStyle w:val="TableContents"/>
              <w:bidi w:val="0"/>
              <w:spacing w:before="0" w:after="283"/>
              <w:jc w:val="left"/>
              <w:rPr>
                <w:sz w:val="20"/>
              </w:rPr>
            </w:pPr>
            <w:r>
              <w:rPr>
                <w:sz w:val="20"/>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2,272</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 w:name="q1_002"/>
      <w:bookmarkEnd w:id="101"/>
      <w:r>
        <w:rPr>
          <w:rFonts w:ascii="Times New Roman;Times;Serif" w:hAnsi="Times New Roman;Times;Serif"/>
          <w:b/>
          <w:i w:val="false"/>
          <w:caps w:val="false"/>
          <w:smallCaps w:val="false"/>
          <w:sz w:val="20"/>
        </w:rPr>
        <w:t xml:space="preserve">CONDENSED CONSOLIDATED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p>
      <w:pPr>
        <w:pStyle w:val="Normal"/>
        <w:bidi w:val="0"/>
        <w:spacing w:before="0" w:after="0"/>
        <w:jc w:val="left"/>
        <w:rPr>
          <w:sz w:val="4"/>
          <w:szCs w:val="4"/>
        </w:rPr>
      </w:pPr>
      <w:r>
        <w:rPr>
          <w:sz w:val="4"/>
          <w:szCs w:val="4"/>
        </w:rPr>
      </w:r>
      <w:bookmarkStart w:id="102" w:name="xdx_309_113_pn3n3_zJo1Qiq6hqye"/>
      <w:bookmarkStart w:id="103" w:name="xdx_309_113_pn3n3_zJo1Qiq6hqye"/>
      <w:bookmarkEnd w:id="103"/>
    </w:p>
    <w:tbl>
      <w:tblPr>
        <w:tblW w:w="8510" w:type="dxa"/>
        <w:jc w:val="left"/>
        <w:tblInd w:w="0" w:type="dxa"/>
        <w:tblLayout w:type="fixed"/>
        <w:tblCellMar>
          <w:top w:w="0" w:type="dxa"/>
          <w:left w:w="0" w:type="dxa"/>
          <w:bottom w:w="0" w:type="dxa"/>
          <w:right w:w="0" w:type="dxa"/>
        </w:tblCellMar>
      </w:tblPr>
      <w:tblGrid>
        <w:gridCol w:w="5960"/>
        <w:gridCol w:w="60"/>
        <w:gridCol w:w="125"/>
        <w:gridCol w:w="1055"/>
        <w:gridCol w:w="80"/>
        <w:gridCol w:w="60"/>
        <w:gridCol w:w="125"/>
        <w:gridCol w:w="950"/>
        <w:gridCol w:w="95"/>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 w:name="xdx_49F_20260101__20260331_zJZ5THRBAX6b"/>
            <w:bookmarkEnd w:id="104"/>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 w:name="xdx_499_20250101__20250331_zFY7XIobgjJ4"/>
            <w:bookmarkEnd w:id="105"/>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95"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bookmarkStart w:id="106" w:name="xdx_400_eus-gaap--Revenues_maCz2EO_zFNXB"/>
            <w:bookmarkEnd w:id="106"/>
          </w:p>
        </w:tc>
      </w:tr>
      <w:tr>
        <w:trPr/>
        <w:tc>
          <w:tcPr>
            <w:tcW w:w="596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07" w:name="xdx_40B_eus-gaap--CostOfRevenue_msCz2EO_"/>
            <w:bookmarkEnd w:id="107"/>
          </w:p>
        </w:tc>
      </w:tr>
      <w:tr>
        <w:trPr/>
        <w:tc>
          <w:tcPr>
            <w:tcW w:w="5960"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08" w:name="xdx_405_eus-gaap--GrossProfit_iT_mtCz2EO"/>
            <w:bookmarkEnd w:id="108"/>
          </w:p>
        </w:tc>
      </w:tr>
      <w:tr>
        <w:trPr/>
        <w:tc>
          <w:tcPr>
            <w:tcW w:w="5960"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09" w:name="xdx_40A_eus-gaap--OperatingExpensesAbstr"/>
            <w:bookmarkEnd w:id="109"/>
          </w:p>
        </w:tc>
      </w:tr>
      <w:tr>
        <w:trPr/>
        <w:tc>
          <w:tcPr>
            <w:tcW w:w="5960"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10" w:name="xdx_407_eus-gaap--SellingAndMarketingExp"/>
            <w:bookmarkEnd w:id="110"/>
          </w:p>
        </w:tc>
      </w:tr>
      <w:tr>
        <w:trPr/>
        <w:tc>
          <w:tcPr>
            <w:tcW w:w="5960" w:type="dxa"/>
            <w:tcBorders/>
            <w:shd w:fill="CCEEFF" w:val="clear"/>
            <w:vAlign w:val="center"/>
          </w:tcPr>
          <w:p>
            <w:pPr>
              <w:pStyle w:val="TableContents"/>
              <w:bidi w:val="0"/>
              <w:spacing w:before="0" w:after="283"/>
              <w:jc w:val="left"/>
              <w:rPr>
                <w:sz w:val="20"/>
              </w:rPr>
            </w:pPr>
            <w:r>
              <w:rPr>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11" w:name="xdx_40D_eus-gaap--ResearchAndDevelopment"/>
            <w:bookmarkEnd w:id="111"/>
          </w:p>
        </w:tc>
      </w:tr>
      <w:tr>
        <w:trPr/>
        <w:tc>
          <w:tcPr>
            <w:tcW w:w="5960"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12" w:name="xdx_401_eus-gaap--GeneralAndAdministrati"/>
            <w:bookmarkEnd w:id="112"/>
          </w:p>
        </w:tc>
      </w:tr>
      <w:tr>
        <w:trPr/>
        <w:tc>
          <w:tcPr>
            <w:tcW w:w="5960"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680</w:t>
            </w:r>
          </w:p>
        </w:tc>
        <w:tc>
          <w:tcPr>
            <w:tcW w:w="95" w:type="dxa"/>
            <w:tcBorders/>
            <w:shd w:fill="CCEEFF" w:val="clear"/>
            <w:vAlign w:val="center"/>
          </w:tcPr>
          <w:p>
            <w:pPr>
              <w:pStyle w:val="TableContents"/>
              <w:bidi w:val="0"/>
              <w:spacing w:before="0" w:after="283"/>
              <w:jc w:val="left"/>
              <w:rPr/>
            </w:pPr>
            <w:r>
              <w:rPr/>
              <w:t> </w:t>
            </w:r>
            <w:bookmarkStart w:id="113" w:name="xdx_408_eus-gaap--OperatingExpenses_i01T"/>
            <w:bookmarkEnd w:id="113"/>
          </w:p>
        </w:tc>
      </w:tr>
      <w:tr>
        <w:trPr/>
        <w:tc>
          <w:tcPr>
            <w:tcW w:w="596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680</w:t>
            </w:r>
          </w:p>
        </w:tc>
        <w:tc>
          <w:tcPr>
            <w:tcW w:w="95" w:type="dxa"/>
            <w:tcBorders/>
            <w:shd w:fill="FFFFFF" w:val="clear"/>
            <w:vAlign w:val="center"/>
          </w:tcPr>
          <w:p>
            <w:pPr>
              <w:pStyle w:val="TableContents"/>
              <w:bidi w:val="0"/>
              <w:spacing w:before="0" w:after="283"/>
              <w:jc w:val="left"/>
              <w:rPr/>
            </w:pPr>
            <w:r>
              <w:rPr/>
              <w:t> </w:t>
            </w:r>
            <w:bookmarkStart w:id="114" w:name="xdx_40A_eus-gaap--OperatingIncomeLoss_i0"/>
            <w:bookmarkEnd w:id="114"/>
          </w:p>
        </w:tc>
      </w:tr>
      <w:tr>
        <w:trPr/>
        <w:tc>
          <w:tcPr>
            <w:tcW w:w="5960" w:type="dxa"/>
            <w:tcBorders/>
            <w:shd w:fill="CCEEFF" w:val="clear"/>
            <w:vAlign w:val="center"/>
          </w:tcPr>
          <w:p>
            <w:pPr>
              <w:pStyle w:val="TableContents"/>
              <w:bidi w:val="0"/>
              <w:spacing w:before="0" w:after="283"/>
              <w:jc w:val="left"/>
              <w:rPr>
                <w:sz w:val="20"/>
              </w:rPr>
            </w:pPr>
            <w:r>
              <w:rPr>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(1,197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(680</w:t>
            </w:r>
          </w:p>
        </w:tc>
        <w:tc>
          <w:tcPr>
            <w:tcW w:w="95" w:type="dxa"/>
            <w:tcBorders/>
            <w:shd w:fill="CCEEFF" w:val="clear"/>
            <w:vAlign w:val="center"/>
          </w:tcPr>
          <w:p>
            <w:pPr>
              <w:pStyle w:val="TableContents"/>
              <w:bidi w:val="0"/>
              <w:spacing w:before="0" w:after="283"/>
              <w:jc w:val="left"/>
              <w:rPr>
                <w:sz w:val="20"/>
              </w:rPr>
            </w:pPr>
            <w:r>
              <w:rPr>
                <w:sz w:val="20"/>
              </w:rPr>
              <w:t>)</w:t>
            </w:r>
            <w:bookmarkStart w:id="115" w:name="xdx_401_eus-gaap--NonoperatingIncomeExpe"/>
            <w:bookmarkEnd w:id="115"/>
          </w:p>
        </w:tc>
      </w:tr>
      <w:tr>
        <w:trPr/>
        <w:tc>
          <w:tcPr>
            <w:tcW w:w="5960" w:type="dxa"/>
            <w:tcBorders/>
            <w:shd w:fill="FFFFFF" w:val="clear"/>
            <w:vAlign w:val="center"/>
          </w:tcPr>
          <w:p>
            <w:pPr>
              <w:pStyle w:val="TableContents"/>
              <w:bidi w:val="0"/>
              <w:spacing w:before="0" w:after="283"/>
              <w:jc w:val="left"/>
              <w:rPr>
                <w:sz w:val="20"/>
              </w:rPr>
            </w:pPr>
            <w:r>
              <w:rPr>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16" w:name="xdx_405_eus-gaap--InterestExpense_i01N_d"/>
            <w:bookmarkEnd w:id="116"/>
          </w:p>
        </w:tc>
      </w:tr>
      <w:tr>
        <w:trPr/>
        <w:tc>
          <w:tcPr>
            <w:tcW w:w="5960"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(102</w:t>
            </w:r>
          </w:p>
        </w:tc>
        <w:tc>
          <w:tcPr>
            <w:tcW w:w="95" w:type="dxa"/>
            <w:tcBorders/>
            <w:shd w:fill="CCEEFF" w:val="clear"/>
            <w:vAlign w:val="center"/>
          </w:tcPr>
          <w:p>
            <w:pPr>
              <w:pStyle w:val="TableContents"/>
              <w:bidi w:val="0"/>
              <w:spacing w:before="0" w:after="283"/>
              <w:jc w:val="left"/>
              <w:rPr>
                <w:sz w:val="20"/>
              </w:rPr>
            </w:pPr>
            <w:r>
              <w:rPr>
                <w:sz w:val="20"/>
              </w:rPr>
              <w:t>)</w:t>
            </w:r>
            <w:bookmarkStart w:id="117" w:name="xdx_408_eus-gaap--OtherNonoperatingIncom"/>
            <w:bookmarkEnd w:id="117"/>
          </w:p>
        </w:tc>
      </w:tr>
      <w:tr>
        <w:trPr/>
        <w:tc>
          <w:tcPr>
            <w:tcW w:w="5960" w:type="dxa"/>
            <w:tcBorders/>
            <w:shd w:fill="FFFFFF" w:val="clear"/>
            <w:vAlign w:val="center"/>
          </w:tcPr>
          <w:p>
            <w:pPr>
              <w:pStyle w:val="TableContents"/>
              <w:bidi w:val="0"/>
              <w:spacing w:before="0" w:after="283"/>
              <w:jc w:val="left"/>
              <w:rPr>
                <w:sz w:val="20"/>
              </w:rPr>
            </w:pPr>
            <w:r>
              <w:rPr>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95" w:type="dxa"/>
            <w:tcBorders/>
            <w:shd w:fill="FFFFFF" w:val="clear"/>
            <w:vAlign w:val="center"/>
          </w:tcPr>
          <w:p>
            <w:pPr>
              <w:pStyle w:val="TableContents"/>
              <w:bidi w:val="0"/>
              <w:spacing w:before="0" w:after="283"/>
              <w:jc w:val="left"/>
              <w:rPr/>
            </w:pPr>
            <w:r>
              <w:rPr/>
              <w:t> </w:t>
            </w:r>
            <w:bookmarkStart w:id="118" w:name="xdx_404_eus-gaap--NonoperatingIncomeExpe"/>
            <w:bookmarkEnd w:id="118"/>
          </w:p>
        </w:tc>
      </w:tr>
      <w:tr>
        <w:trPr/>
        <w:tc>
          <w:tcPr>
            <w:tcW w:w="5960" w:type="dxa"/>
            <w:tcBorders/>
            <w:shd w:fill="CCEEFF" w:val="clear"/>
            <w:vAlign w:val="center"/>
          </w:tcPr>
          <w:p>
            <w:pPr>
              <w:pStyle w:val="TableContents"/>
              <w:bidi w:val="0"/>
              <w:spacing w:before="0" w:after="283"/>
              <w:jc w:val="left"/>
              <w:rPr>
                <w:sz w:val="20"/>
              </w:rPr>
            </w:pPr>
            <w:r>
              <w:rPr>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w:t>
            </w:r>
          </w:p>
        </w:tc>
        <w:tc>
          <w:tcPr>
            <w:tcW w:w="95" w:type="dxa"/>
            <w:tcBorders/>
            <w:shd w:fill="CCEEFF" w:val="clear"/>
            <w:vAlign w:val="center"/>
          </w:tcPr>
          <w:p>
            <w:pPr>
              <w:pStyle w:val="TableContents"/>
              <w:bidi w:val="0"/>
              <w:spacing w:before="0" w:after="283"/>
              <w:jc w:val="left"/>
              <w:rPr>
                <w:sz w:val="20"/>
              </w:rPr>
            </w:pPr>
            <w:r>
              <w:rPr>
                <w:sz w:val="20"/>
              </w:rPr>
              <w:t>)</w:t>
            </w:r>
            <w:bookmarkStart w:id="119" w:name="xdx_408_eus-gaap--IncomeLossFromContinui"/>
            <w:bookmarkEnd w:id="119"/>
          </w:p>
        </w:tc>
      </w:tr>
      <w:tr>
        <w:trPr/>
        <w:tc>
          <w:tcPr>
            <w:tcW w:w="5960" w:type="dxa"/>
            <w:tcBorders/>
            <w:shd w:fill="FFFFFF" w:val="clear"/>
            <w:vAlign w:val="center"/>
          </w:tcPr>
          <w:p>
            <w:pPr>
              <w:pStyle w:val="TableContents"/>
              <w:bidi w:val="0"/>
              <w:spacing w:before="0" w:after="283"/>
              <w:jc w:val="left"/>
              <w:rPr>
                <w:sz w:val="20"/>
              </w:rPr>
            </w:pPr>
            <w:r>
              <w:rPr>
                <w:sz w:val="20"/>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(1,310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sz w:val="20"/>
              </w:rPr>
            </w:pPr>
            <w:r>
              <w:rPr>
                <w:sz w:val="20"/>
              </w:rPr>
              <w:t>)</w:t>
            </w:r>
            <w:bookmarkStart w:id="120" w:name="xdx_402_eus-gaap--IncomeTaxExpenseBenefi"/>
            <w:bookmarkEnd w:id="120"/>
          </w:p>
        </w:tc>
      </w:tr>
      <w:tr>
        <w:trPr/>
        <w:tc>
          <w:tcPr>
            <w:tcW w:w="5960" w:type="dxa"/>
            <w:tcBorders/>
            <w:shd w:fill="CCEEFF" w:val="clear"/>
            <w:vAlign w:val="center"/>
          </w:tcPr>
          <w:p>
            <w:pPr>
              <w:pStyle w:val="TableContents"/>
              <w:bidi w:val="0"/>
              <w:spacing w:before="0" w:after="283"/>
              <w:jc w:val="left"/>
              <w:rPr>
                <w:sz w:val="20"/>
              </w:rPr>
            </w:pPr>
            <w:r>
              <w:rPr>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21" w:name="xdx_404_eus-gaap--NetIncomeLoss_iT_mtCzC"/>
            <w:bookmarkEnd w:id="121"/>
          </w:p>
        </w:tc>
      </w:tr>
      <w:tr>
        <w:trPr/>
        <w:tc>
          <w:tcPr>
            <w:tcW w:w="5960"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(1,310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sz w:val="20"/>
              </w:rPr>
            </w:pPr>
            <w:r>
              <w:rPr>
                <w:sz w:val="20"/>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122" w:name="xdx_909_eus-gaap--EarningsPerShareDilute"/>
            <w:bookmarkStart w:id="123" w:name="xdx_90B_eus-gaap--EarningsPerShareBasic_"/>
            <w:bookmarkEnd w:id="122"/>
            <w:bookmarkEnd w:id="123"/>
            <w:r>
              <w:rPr>
                <w:sz w:val="20"/>
              </w:rPr>
              <w:t>(0.01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124" w:name="xdx_90B_eus-gaap--EarningsPerShareDilute"/>
            <w:bookmarkStart w:id="125" w:name="xdx_90B_eus-gaap--EarningsPerShareBasic_"/>
            <w:bookmarkEnd w:id="124"/>
            <w:bookmarkEnd w:id="125"/>
            <w:r>
              <w:rPr>
                <w:sz w:val="20"/>
              </w:rPr>
              <w:t>(0.02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60" w:type="dxa"/>
            <w:tcBorders/>
            <w:shd w:fill="CCEEFF" w:val="clear"/>
            <w:vAlign w:val="center"/>
          </w:tcPr>
          <w:p>
            <w:pPr>
              <w:pStyle w:val="TableContents"/>
              <w:bidi w:val="0"/>
              <w:spacing w:before="0" w:after="283"/>
              <w:jc w:val="left"/>
              <w:rPr>
                <w:sz w:val="20"/>
              </w:rPr>
            </w:pPr>
            <w:r>
              <w:rPr>
                <w:sz w:val="20"/>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26" w:name="xdx_909_eus-gaap--WeightedAverageNumberO"/>
            <w:bookmarkStart w:id="127" w:name="xdx_90F_eus-gaap--WeightedAverageNumberO"/>
            <w:bookmarkEnd w:id="126"/>
            <w:bookmarkEnd w:id="127"/>
            <w:r>
              <w:rPr>
                <w:sz w:val="20"/>
              </w:rPr>
              <w:t>172,318,506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28" w:name="xdx_902_eus-gaap--WeightedAverageNumberO"/>
            <w:bookmarkStart w:id="129" w:name="xdx_90B_eus-gaap--WeightedAverageNumberO"/>
            <w:bookmarkEnd w:id="128"/>
            <w:bookmarkEnd w:id="129"/>
            <w:r>
              <w:rPr>
                <w:sz w:val="20"/>
              </w:rPr>
              <w:t>42,482,376</w:t>
            </w:r>
          </w:p>
        </w:tc>
        <w:tc>
          <w:tcPr>
            <w:tcW w:w="95"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30" w:name="xdx_405_eus-gaap--NetIncomeLoss_iT_mtCzC"/>
            <w:bookmarkEnd w:id="130"/>
          </w:p>
        </w:tc>
      </w:tr>
      <w:tr>
        <w:trPr/>
        <w:tc>
          <w:tcPr>
            <w:tcW w:w="596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sz w:val="20"/>
              </w:rPr>
            </w:pPr>
            <w:r>
              <w:rPr>
                <w:sz w:val="20"/>
              </w:rPr>
              <w:t>(1,310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(770</w:t>
            </w:r>
          </w:p>
        </w:tc>
        <w:tc>
          <w:tcPr>
            <w:tcW w:w="95" w:type="dxa"/>
            <w:tcBorders/>
            <w:shd w:fill="CCEEFF" w:val="clear"/>
            <w:vAlign w:val="center"/>
          </w:tcPr>
          <w:p>
            <w:pPr>
              <w:pStyle w:val="TableContents"/>
              <w:bidi w:val="0"/>
              <w:spacing w:before="0" w:after="283"/>
              <w:jc w:val="left"/>
              <w:rPr>
                <w:sz w:val="20"/>
              </w:rPr>
            </w:pPr>
            <w:r>
              <w:rPr>
                <w:sz w:val="20"/>
              </w:rPr>
              <w:t>)</w:t>
            </w:r>
            <w:bookmarkStart w:id="131" w:name="xdx_402_ecustom--ForeignCurrencyTranslat"/>
            <w:bookmarkEnd w:id="131"/>
          </w:p>
        </w:tc>
      </w:tr>
      <w:tr>
        <w:trPr/>
        <w:tc>
          <w:tcPr>
            <w:tcW w:w="5960" w:type="dxa"/>
            <w:tcBorders/>
            <w:shd w:fill="FFFFFF" w:val="clear"/>
            <w:vAlign w:val="center"/>
          </w:tcPr>
          <w:p>
            <w:pPr>
              <w:pStyle w:val="TableContents"/>
              <w:bidi w:val="0"/>
              <w:spacing w:before="0" w:after="283"/>
              <w:jc w:val="left"/>
              <w:rPr>
                <w:sz w:val="20"/>
              </w:rPr>
            </w:pPr>
            <w:r>
              <w:rPr>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w:t>
            </w:r>
          </w:p>
        </w:tc>
        <w:tc>
          <w:tcPr>
            <w:tcW w:w="95" w:type="dxa"/>
            <w:tcBorders/>
            <w:shd w:fill="FFFFFF" w:val="clear"/>
            <w:vAlign w:val="center"/>
          </w:tcPr>
          <w:p>
            <w:pPr>
              <w:pStyle w:val="TableContents"/>
              <w:bidi w:val="0"/>
              <w:spacing w:before="0" w:after="283"/>
              <w:jc w:val="left"/>
              <w:rPr>
                <w:sz w:val="20"/>
              </w:rPr>
            </w:pPr>
            <w:r>
              <w:rPr>
                <w:sz w:val="20"/>
              </w:rPr>
              <w:t>)</w:t>
            </w:r>
            <w:bookmarkStart w:id="132" w:name="xdx_402_eus-gaap--ComprehensiveIncomeNet"/>
            <w:bookmarkEnd w:id="132"/>
          </w:p>
        </w:tc>
      </w:tr>
      <w:tr>
        <w:trPr/>
        <w:tc>
          <w:tcPr>
            <w:tcW w:w="5960"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(784</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3" w:name="q1_003"/>
      <w:bookmarkEnd w:id="133"/>
      <w:r>
        <w:rPr>
          <w:rFonts w:ascii="Times New Roman;Times;Serif" w:hAnsi="Times New Roman;Times;Serif"/>
          <w:b/>
          <w:i w:val="false"/>
          <w:caps w:val="false"/>
          <w:smallCaps w:val="false"/>
          <w:sz w:val="20"/>
        </w:rPr>
        <w:t xml:space="preserve">CONDENSED CONSOLIDATED STATEMENTS OF CONVERTIBLE PREFERRED STOCK AND STOCKHOLDERS’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March 31, 2026 and 2025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Normal"/>
        <w:bidi w:val="0"/>
        <w:spacing w:before="0" w:after="0"/>
        <w:jc w:val="left"/>
        <w:rPr>
          <w:sz w:val="4"/>
          <w:szCs w:val="4"/>
        </w:rPr>
      </w:pPr>
      <w:r>
        <w:rPr>
          <w:sz w:val="4"/>
          <w:szCs w:val="4"/>
        </w:rPr>
      </w:r>
      <w:bookmarkStart w:id="134" w:name="xdx_307_114_pn3n3_z50QNtAoPrqa"/>
      <w:bookmarkStart w:id="135" w:name="xdx_307_114_pn3n3_z50QNtAoPrqa"/>
      <w:bookmarkEnd w:id="135"/>
    </w:p>
    <w:tbl>
      <w:tblPr>
        <w:tblW w:w="10205" w:type="dxa"/>
        <w:jc w:val="left"/>
        <w:tblInd w:w="0" w:type="dxa"/>
        <w:tblLayout w:type="fixed"/>
        <w:tblCellMar>
          <w:top w:w="0" w:type="dxa"/>
          <w:left w:w="0" w:type="dxa"/>
          <w:bottom w:w="0" w:type="dxa"/>
          <w:right w:w="0" w:type="dxa"/>
        </w:tblCellMar>
      </w:tblPr>
      <w:tblGrid>
        <w:gridCol w:w="2225"/>
        <w:gridCol w:w="60"/>
        <w:gridCol w:w="85"/>
        <w:gridCol w:w="738"/>
        <w:gridCol w:w="85"/>
        <w:gridCol w:w="85"/>
        <w:gridCol w:w="179"/>
        <w:gridCol w:w="426"/>
        <w:gridCol w:w="60"/>
        <w:gridCol w:w="60"/>
        <w:gridCol w:w="60"/>
        <w:gridCol w:w="920"/>
        <w:gridCol w:w="60"/>
        <w:gridCol w:w="60"/>
        <w:gridCol w:w="179"/>
        <w:gridCol w:w="426"/>
        <w:gridCol w:w="60"/>
        <w:gridCol w:w="60"/>
        <w:gridCol w:w="120"/>
        <w:gridCol w:w="665"/>
        <w:gridCol w:w="60"/>
        <w:gridCol w:w="60"/>
        <w:gridCol w:w="270"/>
        <w:gridCol w:w="860"/>
        <w:gridCol w:w="80"/>
        <w:gridCol w:w="60"/>
        <w:gridCol w:w="136"/>
        <w:gridCol w:w="829"/>
        <w:gridCol w:w="80"/>
        <w:gridCol w:w="60"/>
        <w:gridCol w:w="184"/>
        <w:gridCol w:w="814"/>
        <w:gridCol w:w="99"/>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bookmarkStart w:id="136" w:name="xdx_4B5_us-gaap--StatementEquityComponen"/>
            <w:bookmarkEnd w:id="136"/>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B7_us-gaap--StatementEquityComponen"/>
            <w:bookmarkEnd w:id="137"/>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B0_us-gaap--StatementEquityComponen"/>
            <w:bookmarkEnd w:id="138"/>
          </w:p>
        </w:tc>
        <w:tc>
          <w:tcPr>
            <w:tcW w:w="7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F_us-gaap--StatementEquityComponen"/>
            <w:bookmarkEnd w:id="139"/>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B8_us-gaap--StatementEquityComponen"/>
            <w:bookmarkEnd w:id="140"/>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B8_zyev7VmrrYN"/>
            <w:bookmarkEnd w:id="141"/>
          </w:p>
        </w:tc>
        <w:tc>
          <w:tcPr>
            <w:tcW w:w="998" w:type="dxa"/>
            <w:gridSpan w:val="2"/>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Convertible Preferred</w:t>
              <w:br/>
              <w:t>Stock ($0.0001 par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b/>
                <w:sz w:val="16"/>
              </w:rPr>
            </w:pPr>
            <w:r>
              <w:rPr>
                <w:b/>
                <w:sz w:val="16"/>
              </w:rPr>
              <w:t>Total</w:t>
              <w:br/>
              <w:t>Stockholders’</w:t>
            </w:r>
          </w:p>
        </w:tc>
        <w:tc>
          <w:tcPr>
            <w:tcW w:w="99"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9" w:type="dxa"/>
            <w:tcBorders/>
            <w:vAlign w:val="center"/>
          </w:tcPr>
          <w:p>
            <w:pPr>
              <w:pStyle w:val="TableContents"/>
              <w:bidi w:val="0"/>
              <w:spacing w:before="0" w:after="283"/>
              <w:jc w:val="left"/>
              <w:rPr/>
            </w:pPr>
            <w:r>
              <w:rPr/>
              <w:t> </w:t>
            </w:r>
            <w:bookmarkStart w:id="142" w:name="xdx_43D_c20260101__20260331_eus-gaap--St"/>
            <w:bookmarkEnd w:id="142"/>
          </w:p>
        </w:tc>
      </w:tr>
      <w:tr>
        <w:trPr/>
        <w:tc>
          <w:tcPr>
            <w:tcW w:w="2225" w:type="dxa"/>
            <w:tcBorders/>
            <w:shd w:fill="CCEEFF" w:val="clear"/>
            <w:vAlign w:val="center"/>
          </w:tcPr>
          <w:p>
            <w:pPr>
              <w:pStyle w:val="TableContents"/>
              <w:bidi w:val="0"/>
              <w:spacing w:before="0" w:after="283"/>
              <w:jc w:val="left"/>
              <w:rPr>
                <w:b/>
                <w:sz w:val="16"/>
              </w:rPr>
            </w:pPr>
            <w:r>
              <w:rPr>
                <w:b/>
                <w:sz w:val="16"/>
              </w:rPr>
              <w:t>Balances at December 31,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143" w:name="xdx_982_eus-gaap--SharesOutstanding_iS_p"/>
            <w:bookmarkEnd w:id="143"/>
          </w:p>
        </w:tc>
        <w:tc>
          <w:tcPr>
            <w:tcW w:w="738" w:type="dxa"/>
            <w:tcBorders/>
            <w:shd w:fill="CCEEFF" w:val="clear"/>
            <w:vAlign w:val="center"/>
          </w:tcPr>
          <w:p>
            <w:pPr>
              <w:pStyle w:val="TableContents"/>
              <w:bidi w:val="0"/>
              <w:spacing w:before="0" w:after="283"/>
              <w:jc w:val="right"/>
              <w:rPr>
                <w:sz w:val="16"/>
              </w:rPr>
            </w:pPr>
            <w:r>
              <w:rPr>
                <w:sz w:val="16"/>
              </w:rPr>
              <w:t>26,983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6_eus-gaap--SharesOutstanding_iS_p"/>
            <w:bookmarkEnd w:id="144"/>
          </w:p>
        </w:tc>
        <w:tc>
          <w:tcPr>
            <w:tcW w:w="920" w:type="dxa"/>
            <w:tcBorders/>
            <w:shd w:fill="CCEEFF" w:val="clear"/>
            <w:vAlign w:val="center"/>
          </w:tcPr>
          <w:p>
            <w:pPr>
              <w:pStyle w:val="TableContents"/>
              <w:bidi w:val="0"/>
              <w:spacing w:before="0" w:after="283"/>
              <w:jc w:val="right"/>
              <w:rPr>
                <w:sz w:val="16"/>
              </w:rPr>
            </w:pPr>
            <w:r>
              <w:rPr>
                <w:sz w:val="16"/>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sz w:val="16"/>
              </w:rPr>
            </w:pPr>
            <w:r>
              <w:rPr>
                <w:sz w:val="16"/>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110,211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(162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29" w:type="dxa"/>
            <w:tcBorders/>
            <w:shd w:fill="CCEEFF" w:val="clear"/>
            <w:vAlign w:val="center"/>
          </w:tcPr>
          <w:p>
            <w:pPr>
              <w:pStyle w:val="TableContents"/>
              <w:bidi w:val="0"/>
              <w:spacing w:before="0" w:after="283"/>
              <w:jc w:val="right"/>
              <w:rPr>
                <w:sz w:val="16"/>
              </w:rPr>
            </w:pPr>
            <w:r>
              <w:rPr>
                <w:sz w:val="16"/>
              </w:rPr>
              <w:t>(118,333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16"/>
              </w:rPr>
            </w:pPr>
            <w:r>
              <w:rPr>
                <w:sz w:val="16"/>
              </w:rPr>
              <w:t>$</w:t>
            </w:r>
          </w:p>
        </w:tc>
        <w:tc>
          <w:tcPr>
            <w:tcW w:w="814" w:type="dxa"/>
            <w:tcBorders/>
            <w:shd w:fill="CCEEFF" w:val="clear"/>
            <w:vAlign w:val="center"/>
          </w:tcPr>
          <w:p>
            <w:pPr>
              <w:pStyle w:val="TableContents"/>
              <w:bidi w:val="0"/>
              <w:spacing w:before="0" w:after="283"/>
              <w:jc w:val="right"/>
              <w:rPr>
                <w:sz w:val="16"/>
              </w:rPr>
            </w:pPr>
            <w:r>
              <w:rPr>
                <w:sz w:val="16"/>
              </w:rPr>
              <w:t>(8,267</w:t>
            </w:r>
          </w:p>
        </w:tc>
        <w:tc>
          <w:tcPr>
            <w:tcW w:w="99" w:type="dxa"/>
            <w:tcBorders/>
            <w:shd w:fill="CCEEFF" w:val="clear"/>
            <w:vAlign w:val="center"/>
          </w:tcPr>
          <w:p>
            <w:pPr>
              <w:pStyle w:val="TableContents"/>
              <w:bidi w:val="0"/>
              <w:spacing w:before="0" w:after="283"/>
              <w:jc w:val="left"/>
              <w:rPr>
                <w:sz w:val="16"/>
              </w:rPr>
            </w:pPr>
            <w:r>
              <w:rPr>
                <w:sz w:val="16"/>
              </w:rPr>
              <w:t>)</w:t>
            </w:r>
            <w:bookmarkStart w:id="145" w:name="xdx_400_eus-gaap--AdjustmentsToAdditiona"/>
            <w:bookmarkEnd w:id="145"/>
          </w:p>
        </w:tc>
      </w:tr>
      <w:tr>
        <w:trPr/>
        <w:tc>
          <w:tcPr>
            <w:tcW w:w="2225" w:type="dxa"/>
            <w:tcBorders/>
            <w:shd w:fill="FFFFFF" w:val="clear"/>
            <w:vAlign w:val="center"/>
          </w:tcPr>
          <w:p>
            <w:pPr>
              <w:pStyle w:val="TableContents"/>
              <w:bidi w:val="0"/>
              <w:spacing w:before="0" w:after="283"/>
              <w:jc w:val="left"/>
              <w:rPr>
                <w:sz w:val="16"/>
              </w:rPr>
            </w:pPr>
            <w:r>
              <w:rPr>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sz w:val="16"/>
              </w:rPr>
            </w:pPr>
            <w:r>
              <w:rPr>
                <w:sz w:val="16"/>
              </w:rPr>
              <w:t>238</w:t>
            </w:r>
          </w:p>
        </w:tc>
        <w:tc>
          <w:tcPr>
            <w:tcW w:w="99" w:type="dxa"/>
            <w:tcBorders/>
            <w:shd w:fill="FFFFFF" w:val="clear"/>
            <w:vAlign w:val="center"/>
          </w:tcPr>
          <w:p>
            <w:pPr>
              <w:pStyle w:val="TableContents"/>
              <w:bidi w:val="0"/>
              <w:spacing w:before="0" w:after="283"/>
              <w:jc w:val="left"/>
              <w:rPr/>
            </w:pPr>
            <w:r>
              <w:rPr/>
              <w:t> </w:t>
            </w:r>
            <w:bookmarkStart w:id="146" w:name="xdx_401_eus-gaap--NetIncomeLoss_zwbVXhWR"/>
            <w:bookmarkEnd w:id="146"/>
          </w:p>
        </w:tc>
      </w:tr>
      <w:tr>
        <w:trPr/>
        <w:tc>
          <w:tcPr>
            <w:tcW w:w="222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sz w:val="16"/>
              </w:rPr>
            </w:pPr>
            <w:r>
              <w:rPr>
                <w:sz w:val="16"/>
              </w:rPr>
              <w:t>(1,310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sz w:val="16"/>
              </w:rPr>
            </w:pPr>
            <w:r>
              <w:rPr>
                <w:sz w:val="16"/>
              </w:rPr>
              <w:t>(1,310</w:t>
            </w:r>
          </w:p>
        </w:tc>
        <w:tc>
          <w:tcPr>
            <w:tcW w:w="99" w:type="dxa"/>
            <w:tcBorders/>
            <w:shd w:fill="CCEEFF" w:val="clear"/>
            <w:vAlign w:val="center"/>
          </w:tcPr>
          <w:p>
            <w:pPr>
              <w:pStyle w:val="TableContents"/>
              <w:bidi w:val="0"/>
              <w:spacing w:before="0" w:after="283"/>
              <w:jc w:val="left"/>
              <w:rPr>
                <w:sz w:val="16"/>
              </w:rPr>
            </w:pPr>
            <w:r>
              <w:rPr>
                <w:sz w:val="16"/>
              </w:rPr>
              <w:t>)</w:t>
            </w:r>
            <w:bookmarkStart w:id="147" w:name="xdx_408_eus-gaap--CumulativeTranslationA"/>
            <w:bookmarkEnd w:id="147"/>
          </w:p>
        </w:tc>
      </w:tr>
      <w:tr>
        <w:trPr/>
        <w:tc>
          <w:tcPr>
            <w:tcW w:w="2225" w:type="dxa"/>
            <w:tcBorders/>
            <w:shd w:fill="FFFFFF" w:val="clear"/>
            <w:vAlign w:val="center"/>
          </w:tcPr>
          <w:p>
            <w:pPr>
              <w:pStyle w:val="TableContents"/>
              <w:bidi w:val="0"/>
              <w:spacing w:before="0" w:after="283"/>
              <w:jc w:val="left"/>
              <w:rPr>
                <w:sz w:val="16"/>
              </w:rPr>
            </w:pPr>
            <w:r>
              <w:rPr>
                <w:sz w:val="16"/>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(18</w:t>
            </w:r>
          </w:p>
        </w:tc>
        <w:tc>
          <w:tcPr>
            <w:tcW w:w="99" w:type="dxa"/>
            <w:tcBorders/>
            <w:shd w:fill="FFFFFF" w:val="clear"/>
            <w:vAlign w:val="center"/>
          </w:tcPr>
          <w:p>
            <w:pPr>
              <w:pStyle w:val="TableContents"/>
              <w:bidi w:val="0"/>
              <w:spacing w:before="0" w:after="283"/>
              <w:jc w:val="left"/>
              <w:rPr>
                <w:sz w:val="16"/>
              </w:rPr>
            </w:pPr>
            <w:r>
              <w:rPr>
                <w:sz w:val="16"/>
              </w:rPr>
              <w:t>)</w:t>
            </w:r>
            <w:bookmarkStart w:id="148" w:name="xdx_43E_c20260101__20260331_eus-gaap--St"/>
            <w:bookmarkEnd w:id="148"/>
          </w:p>
        </w:tc>
      </w:tr>
      <w:tr>
        <w:trPr/>
        <w:tc>
          <w:tcPr>
            <w:tcW w:w="2225" w:type="dxa"/>
            <w:tcBorders/>
            <w:shd w:fill="CCEEFF" w:val="clear"/>
            <w:vAlign w:val="center"/>
          </w:tcPr>
          <w:p>
            <w:pPr>
              <w:pStyle w:val="TableContents"/>
              <w:bidi w:val="0"/>
              <w:spacing w:before="0" w:after="283"/>
              <w:jc w:val="left"/>
              <w:rPr>
                <w:b/>
                <w:sz w:val="16"/>
              </w:rPr>
            </w:pPr>
            <w:r>
              <w:rPr>
                <w:b/>
                <w:sz w:val="16"/>
              </w:rPr>
              <w:t>Balances at March 31, 2026</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9" w:name="xdx_98D_eus-gaap--SharesOutstanding_iE_p"/>
            <w:bookmarkEnd w:id="149"/>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26,983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0" w:name="xdx_985_eus-gaap--SharesOutstanding_iE_p"/>
            <w:bookmarkEnd w:id="150"/>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110,449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(180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(119,643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(9,357</w:t>
            </w:r>
          </w:p>
        </w:tc>
        <w:tc>
          <w:tcPr>
            <w:tcW w:w="99"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1"/>
        <w:gridCol w:w="60"/>
        <w:gridCol w:w="118"/>
        <w:gridCol w:w="502"/>
        <w:gridCol w:w="111"/>
        <w:gridCol w:w="111"/>
        <w:gridCol w:w="219"/>
        <w:gridCol w:w="510"/>
        <w:gridCol w:w="60"/>
        <w:gridCol w:w="60"/>
        <w:gridCol w:w="62"/>
        <w:gridCol w:w="871"/>
        <w:gridCol w:w="62"/>
        <w:gridCol w:w="62"/>
        <w:gridCol w:w="179"/>
        <w:gridCol w:w="426"/>
        <w:gridCol w:w="60"/>
        <w:gridCol w:w="60"/>
        <w:gridCol w:w="120"/>
        <w:gridCol w:w="665"/>
        <w:gridCol w:w="60"/>
        <w:gridCol w:w="60"/>
        <w:gridCol w:w="270"/>
        <w:gridCol w:w="860"/>
        <w:gridCol w:w="80"/>
        <w:gridCol w:w="60"/>
        <w:gridCol w:w="136"/>
        <w:gridCol w:w="829"/>
        <w:gridCol w:w="80"/>
        <w:gridCol w:w="60"/>
        <w:gridCol w:w="159"/>
        <w:gridCol w:w="841"/>
        <w:gridCol w:w="101"/>
      </w:tblGrid>
      <w:tr>
        <w:trPr/>
        <w:tc>
          <w:tcPr>
            <w:tcW w:w="22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1"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Convertible Preferred</w:t>
              <w:br/>
              <w:t>Stock ($0.0001 par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2"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16"/>
              </w:rPr>
            </w:pPr>
            <w:r>
              <w:rPr>
                <w:b/>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Total</w:t>
              <w:br/>
              <w:t>Stockholders’</w:t>
            </w:r>
          </w:p>
        </w:tc>
        <w:tc>
          <w:tcPr>
            <w:tcW w:w="101" w:type="dxa"/>
            <w:tcBorders/>
            <w:vAlign w:val="center"/>
          </w:tcPr>
          <w:p>
            <w:pPr>
              <w:pStyle w:val="TableContents"/>
              <w:bidi w:val="0"/>
              <w:spacing w:before="0" w:after="283"/>
              <w:jc w:val="left"/>
              <w:rPr/>
            </w:pPr>
            <w:r>
              <w:rPr/>
              <w:t> </w:t>
            </w:r>
          </w:p>
        </w:tc>
      </w:tr>
      <w:tr>
        <w:trPr/>
        <w:tc>
          <w:tcPr>
            <w:tcW w:w="22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101" w:type="dxa"/>
            <w:tcBorders/>
            <w:vAlign w:val="center"/>
          </w:tcPr>
          <w:p>
            <w:pPr>
              <w:pStyle w:val="TableContents"/>
              <w:bidi w:val="0"/>
              <w:spacing w:before="0" w:after="283"/>
              <w:jc w:val="left"/>
              <w:rPr/>
            </w:pPr>
            <w:r>
              <w:rPr/>
              <w:t> </w:t>
            </w:r>
            <w:bookmarkStart w:id="151" w:name="xdx_437_c20250101__20250331_eus-gaap--St"/>
            <w:bookmarkEnd w:id="151"/>
          </w:p>
        </w:tc>
      </w:tr>
      <w:tr>
        <w:trPr/>
        <w:tc>
          <w:tcPr>
            <w:tcW w:w="2291" w:type="dxa"/>
            <w:tcBorders/>
            <w:shd w:fill="CCEEFF" w:val="clear"/>
            <w:vAlign w:val="center"/>
          </w:tcPr>
          <w:p>
            <w:pPr>
              <w:pStyle w:val="TableContents"/>
              <w:bidi w:val="0"/>
              <w:spacing w:before="0" w:after="283"/>
              <w:jc w:val="left"/>
              <w:rPr>
                <w:b/>
                <w:sz w:val="16"/>
              </w:rPr>
            </w:pPr>
            <w:r>
              <w:rPr>
                <w:b/>
                <w:sz w:val="16"/>
              </w:rPr>
              <w:t>Balances at December 31, 2024</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bookmarkStart w:id="152" w:name="xdx_986_eus-gaap--SharesOutstanding_iS_p"/>
            <w:bookmarkEnd w:id="152"/>
          </w:p>
        </w:tc>
        <w:tc>
          <w:tcPr>
            <w:tcW w:w="50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16"/>
              </w:rPr>
            </w:pPr>
            <w:r>
              <w:rPr>
                <w:sz w:val="16"/>
              </w:rPr>
              <w:t>$</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153" w:name="xdx_989_eus-gaap--SharesOutstanding_iS_p"/>
            <w:bookmarkEnd w:id="153"/>
          </w:p>
        </w:tc>
        <w:tc>
          <w:tcPr>
            <w:tcW w:w="871" w:type="dxa"/>
            <w:tcBorders/>
            <w:shd w:fill="CCEEFF" w:val="clear"/>
            <w:vAlign w:val="center"/>
          </w:tcPr>
          <w:p>
            <w:pPr>
              <w:pStyle w:val="TableContents"/>
              <w:bidi w:val="0"/>
              <w:spacing w:before="0" w:after="283"/>
              <w:jc w:val="right"/>
              <w:rPr>
                <w:sz w:val="16"/>
              </w:rPr>
            </w:pPr>
            <w:r>
              <w:rPr>
                <w:sz w:val="16"/>
              </w:rPr>
              <w:t>43,589,506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sz w:val="16"/>
              </w:rPr>
            </w:pPr>
            <w:r>
              <w:rPr>
                <w:sz w:val="16"/>
              </w:rPr>
              <w:t>$</w:t>
            </w:r>
          </w:p>
        </w:tc>
        <w:tc>
          <w:tcPr>
            <w:tcW w:w="426" w:type="dxa"/>
            <w:tcBorders/>
            <w:shd w:fill="CCEEFF" w:val="clear"/>
            <w:vAlign w:val="center"/>
          </w:tcPr>
          <w:p>
            <w:pPr>
              <w:pStyle w:val="TableContents"/>
              <w:bidi w:val="0"/>
              <w:spacing w:before="0" w:after="283"/>
              <w:jc w:val="right"/>
              <w:rPr>
                <w:sz w:val="16"/>
              </w:rPr>
            </w:pPr>
            <w:r>
              <w:rPr>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104,301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(109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16"/>
              </w:rPr>
            </w:pPr>
            <w:r>
              <w:rPr>
                <w:sz w:val="16"/>
              </w:rPr>
              <w:t>$</w:t>
            </w:r>
          </w:p>
        </w:tc>
        <w:tc>
          <w:tcPr>
            <w:tcW w:w="829" w:type="dxa"/>
            <w:tcBorders/>
            <w:shd w:fill="CCEEFF" w:val="clear"/>
            <w:vAlign w:val="center"/>
          </w:tcPr>
          <w:p>
            <w:pPr>
              <w:pStyle w:val="TableContents"/>
              <w:bidi w:val="0"/>
              <w:spacing w:before="0" w:after="283"/>
              <w:jc w:val="right"/>
              <w:rPr>
                <w:sz w:val="16"/>
              </w:rPr>
            </w:pPr>
            <w:r>
              <w:rPr>
                <w:sz w:val="16"/>
              </w:rPr>
              <w:t>(127,669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16"/>
              </w:rPr>
            </w:pPr>
            <w:r>
              <w:rPr>
                <w:sz w:val="16"/>
              </w:rPr>
              <w:t>$</w:t>
            </w:r>
          </w:p>
        </w:tc>
        <w:tc>
          <w:tcPr>
            <w:tcW w:w="841" w:type="dxa"/>
            <w:tcBorders/>
            <w:shd w:fill="CCEEFF" w:val="clear"/>
            <w:vAlign w:val="center"/>
          </w:tcPr>
          <w:p>
            <w:pPr>
              <w:pStyle w:val="TableContents"/>
              <w:bidi w:val="0"/>
              <w:spacing w:before="0" w:after="283"/>
              <w:jc w:val="right"/>
              <w:rPr>
                <w:sz w:val="16"/>
              </w:rPr>
            </w:pPr>
            <w:r>
              <w:rPr>
                <w:sz w:val="16"/>
              </w:rPr>
              <w:t>(23,473</w:t>
            </w:r>
          </w:p>
        </w:tc>
        <w:tc>
          <w:tcPr>
            <w:tcW w:w="101" w:type="dxa"/>
            <w:tcBorders/>
            <w:shd w:fill="CCEEFF" w:val="clear"/>
            <w:vAlign w:val="center"/>
          </w:tcPr>
          <w:p>
            <w:pPr>
              <w:pStyle w:val="TableContents"/>
              <w:bidi w:val="0"/>
              <w:spacing w:before="0" w:after="283"/>
              <w:jc w:val="left"/>
              <w:rPr>
                <w:sz w:val="16"/>
              </w:rPr>
            </w:pPr>
            <w:r>
              <w:rPr>
                <w:sz w:val="16"/>
              </w:rPr>
              <w:t>)</w:t>
            </w:r>
            <w:bookmarkStart w:id="154" w:name="xdx_409_ecustom--VestingOfRestrictedStoc"/>
            <w:bookmarkEnd w:id="154"/>
          </w:p>
        </w:tc>
      </w:tr>
      <w:tr>
        <w:trPr/>
        <w:tc>
          <w:tcPr>
            <w:tcW w:w="2291" w:type="dxa"/>
            <w:tcBorders/>
            <w:shd w:fill="FFFFFF" w:val="clear"/>
            <w:vAlign w:val="center"/>
          </w:tcPr>
          <w:p>
            <w:pPr>
              <w:pStyle w:val="TableContents"/>
              <w:bidi w:val="0"/>
              <w:spacing w:before="0" w:after="283"/>
              <w:jc w:val="left"/>
              <w:rPr>
                <w:sz w:val="16"/>
              </w:rPr>
            </w:pPr>
            <w:r>
              <w:rPr>
                <w:sz w:val="16"/>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155" w:name="xdx_98C_ecustom--VestingOfRestrictedStoc"/>
            <w:bookmarkEnd w:id="155"/>
          </w:p>
        </w:tc>
        <w:tc>
          <w:tcPr>
            <w:tcW w:w="871" w:type="dxa"/>
            <w:tcBorders/>
            <w:shd w:fill="FFFFFF" w:val="clear"/>
            <w:vAlign w:val="center"/>
          </w:tcPr>
          <w:p>
            <w:pPr>
              <w:pStyle w:val="TableContents"/>
              <w:bidi w:val="0"/>
              <w:spacing w:before="0" w:after="283"/>
              <w:jc w:val="right"/>
              <w:rPr>
                <w:sz w:val="16"/>
              </w:rPr>
            </w:pPr>
            <w:r>
              <w:rPr>
                <w:sz w:val="16"/>
              </w:rPr>
              <w:t>25,000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bookmarkStart w:id="156" w:name="xdx_400_eus-gaap--AdjustmentsToAdditiona"/>
            <w:bookmarkEnd w:id="156"/>
          </w:p>
        </w:tc>
      </w:tr>
      <w:tr>
        <w:trPr/>
        <w:tc>
          <w:tcPr>
            <w:tcW w:w="2291" w:type="dxa"/>
            <w:tcBorders/>
            <w:shd w:fill="CCEEFF" w:val="clear"/>
            <w:vAlign w:val="center"/>
          </w:tcPr>
          <w:p>
            <w:pPr>
              <w:pStyle w:val="TableContents"/>
              <w:bidi w:val="0"/>
              <w:spacing w:before="0" w:after="283"/>
              <w:jc w:val="left"/>
              <w:rPr>
                <w:sz w:val="16"/>
              </w:rPr>
            </w:pPr>
            <w:r>
              <w:rPr>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sz w:val="16"/>
              </w:rPr>
            </w:pPr>
            <w:r>
              <w:rPr>
                <w:sz w:val="16"/>
              </w:rPr>
              <w:t>44</w:t>
            </w:r>
          </w:p>
        </w:tc>
        <w:tc>
          <w:tcPr>
            <w:tcW w:w="101" w:type="dxa"/>
            <w:tcBorders/>
            <w:shd w:fill="CCEEFF" w:val="clear"/>
            <w:vAlign w:val="center"/>
          </w:tcPr>
          <w:p>
            <w:pPr>
              <w:pStyle w:val="TableContents"/>
              <w:bidi w:val="0"/>
              <w:spacing w:before="0" w:after="283"/>
              <w:jc w:val="left"/>
              <w:rPr/>
            </w:pPr>
            <w:r>
              <w:rPr/>
              <w:t> </w:t>
            </w:r>
            <w:bookmarkStart w:id="157" w:name="xdx_401_eus-gaap--NetIncomeLoss_zaoaR2Py"/>
            <w:bookmarkEnd w:id="157"/>
          </w:p>
        </w:tc>
      </w:tr>
      <w:tr>
        <w:trPr/>
        <w:tc>
          <w:tcPr>
            <w:tcW w:w="2291"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sz w:val="16"/>
              </w:rPr>
            </w:pPr>
            <w:r>
              <w:rPr>
                <w:sz w:val="16"/>
              </w:rPr>
              <w:t>(770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sz w:val="16"/>
              </w:rPr>
            </w:pPr>
            <w:r>
              <w:rPr>
                <w:sz w:val="16"/>
              </w:rPr>
              <w:t>(770</w:t>
            </w:r>
          </w:p>
        </w:tc>
        <w:tc>
          <w:tcPr>
            <w:tcW w:w="101" w:type="dxa"/>
            <w:tcBorders/>
            <w:shd w:fill="FFFFFF" w:val="clear"/>
            <w:vAlign w:val="center"/>
          </w:tcPr>
          <w:p>
            <w:pPr>
              <w:pStyle w:val="TableContents"/>
              <w:bidi w:val="0"/>
              <w:spacing w:before="0" w:after="283"/>
              <w:jc w:val="left"/>
              <w:rPr>
                <w:sz w:val="16"/>
              </w:rPr>
            </w:pPr>
            <w:r>
              <w:rPr>
                <w:sz w:val="16"/>
              </w:rPr>
              <w:t>)</w:t>
            </w:r>
            <w:bookmarkStart w:id="158" w:name="xdx_408_eus-gaap--CumulativeTranslationA"/>
            <w:bookmarkEnd w:id="158"/>
          </w:p>
        </w:tc>
      </w:tr>
      <w:tr>
        <w:trPr/>
        <w:tc>
          <w:tcPr>
            <w:tcW w:w="2291" w:type="dxa"/>
            <w:tcBorders/>
            <w:shd w:fill="CCEEFF" w:val="clear"/>
            <w:vAlign w:val="center"/>
          </w:tcPr>
          <w:p>
            <w:pPr>
              <w:pStyle w:val="TableContents"/>
              <w:bidi w:val="0"/>
              <w:spacing w:before="0" w:after="283"/>
              <w:jc w:val="left"/>
              <w:rPr>
                <w:sz w:val="16"/>
              </w:rPr>
            </w:pPr>
            <w:r>
              <w:rPr>
                <w:sz w:val="16"/>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(14</w:t>
            </w:r>
          </w:p>
        </w:tc>
        <w:tc>
          <w:tcPr>
            <w:tcW w:w="101" w:type="dxa"/>
            <w:tcBorders/>
            <w:shd w:fill="CCEEFF" w:val="clear"/>
            <w:vAlign w:val="center"/>
          </w:tcPr>
          <w:p>
            <w:pPr>
              <w:pStyle w:val="TableContents"/>
              <w:bidi w:val="0"/>
              <w:spacing w:before="0" w:after="283"/>
              <w:jc w:val="left"/>
              <w:rPr>
                <w:sz w:val="16"/>
              </w:rPr>
            </w:pPr>
            <w:r>
              <w:rPr>
                <w:sz w:val="16"/>
              </w:rPr>
              <w:t>)</w:t>
            </w:r>
            <w:bookmarkStart w:id="159" w:name="xdx_43E_c20250101__20250331_eus-gaap--St"/>
            <w:bookmarkEnd w:id="159"/>
          </w:p>
        </w:tc>
      </w:tr>
      <w:tr>
        <w:trPr/>
        <w:tc>
          <w:tcPr>
            <w:tcW w:w="2291" w:type="dxa"/>
            <w:tcBorders/>
            <w:shd w:fill="FFFFFF" w:val="clear"/>
            <w:vAlign w:val="center"/>
          </w:tcPr>
          <w:p>
            <w:pPr>
              <w:pStyle w:val="TableContents"/>
              <w:bidi w:val="0"/>
              <w:spacing w:before="0" w:after="283"/>
              <w:jc w:val="left"/>
              <w:rPr>
                <w:b/>
                <w:sz w:val="16"/>
              </w:rPr>
            </w:pPr>
            <w:r>
              <w:rPr>
                <w:b/>
                <w:sz w:val="16"/>
              </w:rPr>
              <w:t>Balances at March 31, 2025</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0" w:name="xdx_987_eus-gaap--SharesOutstanding_iE_p"/>
            <w:bookmarkEnd w:id="160"/>
          </w:p>
        </w:tc>
        <w:tc>
          <w:tcPr>
            <w:tcW w:w="5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1" w:name="xdx_98E_eus-gaap--SharesOutstanding_iE_p"/>
            <w:bookmarkEnd w:id="161"/>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43,614,506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104,345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(123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(128,439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(24,213</w:t>
            </w:r>
          </w:p>
        </w:tc>
        <w:tc>
          <w:tcPr>
            <w:tcW w:w="101" w:type="dxa"/>
            <w:tcBorders/>
            <w:shd w:fill="FFFF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2" w:name="q1_004"/>
      <w:bookmarkEnd w:id="162"/>
      <w:r>
        <w:rPr>
          <w:rFonts w:ascii="Times New Roman;Times;Serif" w:hAnsi="Times New Roman;Times;Serif"/>
          <w:b/>
          <w:i w:val="false"/>
          <w:caps w:val="false"/>
          <w:smallCaps w:val="false"/>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p>
      <w:pPr>
        <w:pStyle w:val="Normal"/>
        <w:bidi w:val="0"/>
        <w:spacing w:before="0" w:after="0"/>
        <w:jc w:val="left"/>
        <w:rPr>
          <w:sz w:val="4"/>
          <w:szCs w:val="4"/>
        </w:rPr>
      </w:pPr>
      <w:r>
        <w:rPr>
          <w:sz w:val="4"/>
          <w:szCs w:val="4"/>
        </w:rPr>
      </w:r>
      <w:bookmarkStart w:id="163" w:name="xdx_308_112_pn3n3_z4GuDNKbH4Fk"/>
      <w:bookmarkStart w:id="164" w:name="xdx_308_112_pn3n3_z4GuDNKbH4Fk"/>
      <w:bookmarkEnd w:id="164"/>
    </w:p>
    <w:tbl>
      <w:tblPr>
        <w:tblW w:w="8621" w:type="dxa"/>
        <w:jc w:val="left"/>
        <w:tblInd w:w="0" w:type="dxa"/>
        <w:tblLayout w:type="fixed"/>
        <w:tblCellMar>
          <w:top w:w="0" w:type="dxa"/>
          <w:left w:w="0" w:type="dxa"/>
          <w:bottom w:w="0" w:type="dxa"/>
          <w:right w:w="0" w:type="dxa"/>
        </w:tblCellMar>
      </w:tblPr>
      <w:tblGrid>
        <w:gridCol w:w="6365"/>
        <w:gridCol w:w="60"/>
        <w:gridCol w:w="197"/>
        <w:gridCol w:w="862"/>
        <w:gridCol w:w="126"/>
        <w:gridCol w:w="94"/>
        <w:gridCol w:w="197"/>
        <w:gridCol w:w="625"/>
        <w:gridCol w:w="95"/>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98_20260101__20260331_zyfqxdJFPCfi"/>
            <w:bookmarkEnd w:id="165"/>
          </w:p>
        </w:tc>
        <w:tc>
          <w:tcPr>
            <w:tcW w:w="1059"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166" w:name="xdx_49D_20250101__20250331_zPj9qPqsREdj"/>
            <w:bookmarkEnd w:id="166"/>
          </w:p>
        </w:tc>
        <w:tc>
          <w:tcPr>
            <w:tcW w:w="8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1"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For the Three Months Ended</w:t>
              <w:br/>
              <w:t>March 31,</w:t>
            </w:r>
          </w:p>
        </w:tc>
        <w:tc>
          <w:tcPr>
            <w:tcW w:w="9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bookmarkStart w:id="167" w:name="xdx_40A_eus-gaap--NetCashProvidedByUsedI"/>
            <w:bookmarkEnd w:id="167"/>
          </w:p>
        </w:tc>
      </w:tr>
      <w:tr>
        <w:trPr/>
        <w:tc>
          <w:tcPr>
            <w:tcW w:w="6365"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68" w:name="xdx_405_eus-gaap--ProfitLoss_i01_maCzmdl"/>
            <w:bookmarkEnd w:id="168"/>
          </w:p>
        </w:tc>
      </w:tr>
      <w:tr>
        <w:trPr/>
        <w:tc>
          <w:tcPr>
            <w:tcW w:w="6365"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sz w:val="20"/>
              </w:rPr>
            </w:pPr>
            <w:r>
              <w:rPr>
                <w:sz w:val="20"/>
              </w:rPr>
              <w:t>$</w:t>
            </w:r>
          </w:p>
        </w:tc>
        <w:tc>
          <w:tcPr>
            <w:tcW w:w="862" w:type="dxa"/>
            <w:tcBorders/>
            <w:shd w:fill="FFFFFF" w:val="clear"/>
            <w:vAlign w:val="center"/>
          </w:tcPr>
          <w:p>
            <w:pPr>
              <w:pStyle w:val="TableContents"/>
              <w:bidi w:val="0"/>
              <w:spacing w:before="0" w:after="283"/>
              <w:jc w:val="right"/>
              <w:rPr>
                <w:sz w:val="20"/>
              </w:rPr>
            </w:pPr>
            <w:r>
              <w:rPr>
                <w:sz w:val="20"/>
              </w:rPr>
              <w:t>(1,310</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sz w:val="20"/>
              </w:rPr>
            </w:pPr>
            <w:r>
              <w:rPr>
                <w:sz w:val="20"/>
              </w:rPr>
              <w:t>$</w:t>
            </w:r>
          </w:p>
        </w:tc>
        <w:tc>
          <w:tcPr>
            <w:tcW w:w="625" w:type="dxa"/>
            <w:tcBorders/>
            <w:shd w:fill="FFFFFF" w:val="cle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sz w:val="20"/>
              </w:rPr>
            </w:pPr>
            <w:r>
              <w:rPr>
                <w:sz w:val="20"/>
              </w:rPr>
              <w:t>)</w:t>
            </w:r>
            <w:bookmarkStart w:id="169" w:name="xdx_400_eus-gaap--AdjustmentsNoncashItem"/>
            <w:bookmarkEnd w:id="169"/>
          </w:p>
        </w:tc>
      </w:tr>
      <w:tr>
        <w:trPr/>
        <w:tc>
          <w:tcPr>
            <w:tcW w:w="6365" w:type="dxa"/>
            <w:tcBorders/>
            <w:shd w:fill="CCEEFF" w:val="clear"/>
            <w:vAlign w:val="center"/>
          </w:tcPr>
          <w:p>
            <w:pPr>
              <w:pStyle w:val="TableContents"/>
              <w:bidi w:val="0"/>
              <w:spacing w:before="0" w:after="283"/>
              <w:jc w:val="left"/>
              <w:rPr>
                <w:sz w:val="20"/>
              </w:rPr>
            </w:pPr>
            <w:r>
              <w:rPr>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70" w:name="xdx_400_eus-gaap--PaidInKindInterest_i02"/>
            <w:bookmarkEnd w:id="170"/>
          </w:p>
        </w:tc>
      </w:tr>
      <w:tr>
        <w:trPr/>
        <w:tc>
          <w:tcPr>
            <w:tcW w:w="6365" w:type="dxa"/>
            <w:tcBorders/>
            <w:shd w:fill="FFFFFF" w:val="clear"/>
            <w:vAlign w:val="center"/>
          </w:tcPr>
          <w:p>
            <w:pPr>
              <w:pStyle w:val="TableContents"/>
              <w:bidi w:val="0"/>
              <w:spacing w:before="0" w:after="283"/>
              <w:jc w:val="left"/>
              <w:rPr>
                <w:sz w:val="20"/>
              </w:rPr>
            </w:pPr>
            <w:r>
              <w:rPr>
                <w:sz w:val="20"/>
              </w:rPr>
              <w:t>Non-cash interest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132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sz w:val="20"/>
              </w:rPr>
            </w:pPr>
            <w:r>
              <w:rPr>
                <w:sz w:val="20"/>
              </w:rPr>
              <w:t>525</w:t>
            </w:r>
          </w:p>
        </w:tc>
        <w:tc>
          <w:tcPr>
            <w:tcW w:w="95" w:type="dxa"/>
            <w:tcBorders/>
            <w:shd w:fill="FFFFFF" w:val="clear"/>
            <w:vAlign w:val="center"/>
          </w:tcPr>
          <w:p>
            <w:pPr>
              <w:pStyle w:val="TableContents"/>
              <w:bidi w:val="0"/>
              <w:spacing w:before="0" w:after="283"/>
              <w:jc w:val="left"/>
              <w:rPr/>
            </w:pPr>
            <w:r>
              <w:rPr/>
              <w:t> </w:t>
            </w:r>
            <w:bookmarkStart w:id="171" w:name="xdx_40B_ecustom--StockbasedCompensation_"/>
            <w:bookmarkEnd w:id="171"/>
          </w:p>
        </w:tc>
      </w:tr>
      <w:tr>
        <w:trPr/>
        <w:tc>
          <w:tcPr>
            <w:tcW w:w="6365"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238</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sz w:val="20"/>
              </w:rPr>
            </w:pPr>
            <w:r>
              <w:rPr>
                <w:sz w:val="20"/>
              </w:rPr>
              <w:t>44</w:t>
            </w:r>
          </w:p>
        </w:tc>
        <w:tc>
          <w:tcPr>
            <w:tcW w:w="95" w:type="dxa"/>
            <w:tcBorders/>
            <w:shd w:fill="CCEEFF" w:val="clear"/>
            <w:vAlign w:val="center"/>
          </w:tcPr>
          <w:p>
            <w:pPr>
              <w:pStyle w:val="TableContents"/>
              <w:bidi w:val="0"/>
              <w:spacing w:before="0" w:after="283"/>
              <w:jc w:val="left"/>
              <w:rPr/>
            </w:pPr>
            <w:r>
              <w:rPr/>
              <w:t> </w:t>
            </w:r>
            <w:bookmarkStart w:id="172" w:name="xdx_405_eus-gaap--IncreaseDecreaseInOper"/>
            <w:bookmarkEnd w:id="172"/>
          </w:p>
        </w:tc>
      </w:tr>
      <w:tr>
        <w:trPr/>
        <w:tc>
          <w:tcPr>
            <w:tcW w:w="6365" w:type="dxa"/>
            <w:tcBorders/>
            <w:shd w:fill="FFFFFF" w:val="clear"/>
            <w:vAlign w:val="center"/>
          </w:tcPr>
          <w:p>
            <w:pPr>
              <w:pStyle w:val="TableContents"/>
              <w:bidi w:val="0"/>
              <w:spacing w:before="0" w:after="283"/>
              <w:jc w:val="left"/>
              <w:rPr>
                <w:sz w:val="20"/>
              </w:rPr>
            </w:pPr>
            <w:r>
              <w:rPr>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3" w:name="xdx_409_eus-gaap--IncreaseDecreaseInPrep"/>
            <w:bookmarkEnd w:id="173"/>
          </w:p>
        </w:tc>
      </w:tr>
      <w:tr>
        <w:trPr/>
        <w:tc>
          <w:tcPr>
            <w:tcW w:w="6365" w:type="dxa"/>
            <w:tcBorders/>
            <w:shd w:fill="CCEEFF" w:val="clear"/>
            <w:vAlign w:val="center"/>
          </w:tcPr>
          <w:p>
            <w:pPr>
              <w:pStyle w:val="TableContents"/>
              <w:bidi w:val="0"/>
              <w:spacing w:before="0" w:after="283"/>
              <w:jc w:val="left"/>
              <w:rPr>
                <w:sz w:val="20"/>
              </w:rPr>
            </w:pPr>
            <w:r>
              <w:rPr>
                <w:sz w:val="20"/>
              </w:rPr>
              <w:t>Prepaid expenses and other current and non-current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sz w:val="20"/>
              </w:rPr>
            </w:pPr>
            <w:r>
              <w:rPr>
                <w:sz w:val="20"/>
              </w:rPr>
              <w:t>51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sz w:val="20"/>
              </w:rPr>
            </w:pPr>
            <w:r>
              <w:rPr>
                <w:sz w:val="20"/>
              </w:rPr>
              <w:t>94</w:t>
            </w:r>
          </w:p>
        </w:tc>
        <w:tc>
          <w:tcPr>
            <w:tcW w:w="95" w:type="dxa"/>
            <w:tcBorders/>
            <w:shd w:fill="CCEEFF" w:val="clear"/>
            <w:vAlign w:val="center"/>
          </w:tcPr>
          <w:p>
            <w:pPr>
              <w:pStyle w:val="TableContents"/>
              <w:bidi w:val="0"/>
              <w:spacing w:before="0" w:after="283"/>
              <w:jc w:val="left"/>
              <w:rPr/>
            </w:pPr>
            <w:r>
              <w:rPr/>
              <w:t> </w:t>
            </w:r>
            <w:bookmarkStart w:id="174" w:name="xdx_401_eus-gaap--IncreaseDecreaseInAcco"/>
            <w:bookmarkEnd w:id="174"/>
          </w:p>
        </w:tc>
      </w:tr>
      <w:tr>
        <w:trPr/>
        <w:tc>
          <w:tcPr>
            <w:tcW w:w="6365"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107</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sz w:val="20"/>
              </w:rPr>
            </w:pPr>
            <w:r>
              <w:rPr>
                <w:sz w:val="20"/>
              </w:rPr>
              <w:t>48</w:t>
            </w:r>
          </w:p>
        </w:tc>
        <w:tc>
          <w:tcPr>
            <w:tcW w:w="95" w:type="dxa"/>
            <w:tcBorders/>
            <w:shd w:fill="FFFFFF" w:val="clear"/>
            <w:vAlign w:val="center"/>
          </w:tcPr>
          <w:p>
            <w:pPr>
              <w:pStyle w:val="TableContents"/>
              <w:bidi w:val="0"/>
              <w:spacing w:before="0" w:after="283"/>
              <w:jc w:val="left"/>
              <w:rPr/>
            </w:pPr>
            <w:r>
              <w:rPr/>
              <w:t> </w:t>
            </w:r>
            <w:bookmarkStart w:id="175" w:name="xdx_409_ecustom--IncreaseDecreaseInAccru"/>
            <w:bookmarkEnd w:id="175"/>
          </w:p>
        </w:tc>
      </w:tr>
      <w:tr>
        <w:trPr/>
        <w:tc>
          <w:tcPr>
            <w:tcW w:w="6365" w:type="dxa"/>
            <w:tcBorders/>
            <w:shd w:fill="CCEEFF" w:val="clear"/>
            <w:vAlign w:val="center"/>
          </w:tcPr>
          <w:p>
            <w:pPr>
              <w:pStyle w:val="TableContents"/>
              <w:bidi w:val="0"/>
              <w:spacing w:before="0" w:after="283"/>
              <w:jc w:val="left"/>
              <w:rPr>
                <w:sz w:val="20"/>
              </w:rPr>
            </w:pPr>
            <w:r>
              <w:rPr>
                <w:sz w:val="20"/>
              </w:rPr>
              <w:t>Accrued expenses and other current liabilities and other non-current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(217</w:t>
            </w:r>
          </w:p>
        </w:tc>
        <w:tc>
          <w:tcPr>
            <w:tcW w:w="126" w:type="dxa"/>
            <w:tcBorders/>
            <w:shd w:fill="CCEEFF" w:val="clear"/>
            <w:vAlign w:val="center"/>
          </w:tcPr>
          <w:p>
            <w:pPr>
              <w:pStyle w:val="TableContents"/>
              <w:bidi w:val="0"/>
              <w:spacing w:before="0" w:after="283"/>
              <w:jc w:val="left"/>
              <w:rPr>
                <w:sz w:val="20"/>
              </w:rPr>
            </w:pPr>
            <w:r>
              <w:rPr>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76" w:name="xdx_40B_eus-gaap--NetCashProvidedByUsedI"/>
            <w:bookmarkEnd w:id="176"/>
          </w:p>
        </w:tc>
      </w:tr>
      <w:tr>
        <w:trPr/>
        <w:tc>
          <w:tcPr>
            <w:tcW w:w="6365" w:type="dxa"/>
            <w:tcBorders/>
            <w:shd w:fill="FFFFFF" w:val="clear"/>
            <w:vAlign w:val="center"/>
          </w:tcPr>
          <w:p>
            <w:pPr>
              <w:pStyle w:val="TableContents"/>
              <w:bidi w:val="0"/>
              <w:spacing w:before="0" w:after="283"/>
              <w:jc w:val="left"/>
              <w:rPr>
                <w:sz w:val="20"/>
              </w:rPr>
            </w:pPr>
            <w:r>
              <w:rPr>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(999</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w:t>
            </w:r>
          </w:p>
        </w:tc>
        <w:tc>
          <w:tcPr>
            <w:tcW w:w="95" w:type="dxa"/>
            <w:tcBorders/>
            <w:shd w:fill="FFFFFF" w:val="clear"/>
            <w:vAlign w:val="center"/>
          </w:tcPr>
          <w:p>
            <w:pPr>
              <w:pStyle w:val="TableContents"/>
              <w:bidi w:val="0"/>
              <w:spacing w:before="0" w:after="283"/>
              <w:jc w:val="left"/>
              <w:rPr>
                <w:sz w:val="20"/>
              </w:rPr>
            </w:pPr>
            <w:r>
              <w:rPr>
                <w:sz w:val="20"/>
              </w:rPr>
              <w:t>)</w:t>
            </w:r>
            <w:bookmarkStart w:id="177" w:name="xdx_407_eus-gaap--EffectOfExchangeRateOn"/>
            <w:bookmarkEnd w:id="177"/>
          </w:p>
        </w:tc>
      </w:tr>
      <w:tr>
        <w:trPr/>
        <w:tc>
          <w:tcPr>
            <w:tcW w:w="6365" w:type="dxa"/>
            <w:tcBorders/>
            <w:shd w:fill="CCEEFF" w:val="clear"/>
            <w:vAlign w:val="center"/>
          </w:tcPr>
          <w:p>
            <w:pPr>
              <w:pStyle w:val="TableContents"/>
              <w:bidi w:val="0"/>
              <w:spacing w:before="0" w:after="283"/>
              <w:jc w:val="left"/>
              <w:rPr>
                <w:b/>
                <w:sz w:val="20"/>
              </w:rPr>
            </w:pPr>
            <w:r>
              <w:rPr>
                <w:b/>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w:t>
            </w:r>
          </w:p>
        </w:tc>
        <w:tc>
          <w:tcPr>
            <w:tcW w:w="126" w:type="dxa"/>
            <w:tcBorders/>
            <w:shd w:fill="CCEEFF" w:val="clear"/>
            <w:vAlign w:val="center"/>
          </w:tcPr>
          <w:p>
            <w:pPr>
              <w:pStyle w:val="TableContents"/>
              <w:bidi w:val="0"/>
              <w:spacing w:before="0" w:after="283"/>
              <w:jc w:val="left"/>
              <w:rPr>
                <w:sz w:val="20"/>
              </w:rPr>
            </w:pPr>
            <w:r>
              <w:rPr>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95" w:type="dxa"/>
            <w:tcBorders/>
            <w:shd w:fill="CCEEFF" w:val="clear"/>
            <w:vAlign w:val="center"/>
          </w:tcPr>
          <w:p>
            <w:pPr>
              <w:pStyle w:val="TableContents"/>
              <w:bidi w:val="0"/>
              <w:spacing w:before="0" w:after="283"/>
              <w:jc w:val="left"/>
              <w:rPr>
                <w:sz w:val="20"/>
              </w:rPr>
            </w:pPr>
            <w:r>
              <w:rPr>
                <w:sz w:val="20"/>
              </w:rPr>
              <w:t>)</w:t>
            </w:r>
            <w:bookmarkStart w:id="178" w:name="xdx_40D_eus-gaap--CashCashEquivalentsRes"/>
            <w:bookmarkEnd w:id="178"/>
          </w:p>
        </w:tc>
      </w:tr>
      <w:tr>
        <w:trPr/>
        <w:tc>
          <w:tcPr>
            <w:tcW w:w="6365" w:type="dxa"/>
            <w:tcBorders/>
            <w:shd w:fill="FFFFFF" w:val="clear"/>
            <w:vAlign w:val="center"/>
          </w:tcPr>
          <w:p>
            <w:pPr>
              <w:pStyle w:val="TableContents"/>
              <w:bidi w:val="0"/>
              <w:spacing w:before="0" w:after="283"/>
              <w:jc w:val="left"/>
              <w:rPr>
                <w:b/>
                <w:sz w:val="20"/>
              </w:rPr>
            </w:pPr>
            <w:r>
              <w:rPr>
                <w:b/>
                <w:sz w:val="20"/>
              </w:rPr>
              <w:t>Net decrease in cash</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(1,017</w:t>
            </w:r>
          </w:p>
        </w:tc>
        <w:tc>
          <w:tcPr>
            <w:tcW w:w="126" w:type="dxa"/>
            <w:tcBorders/>
            <w:shd w:fill="FFFFFF" w:val="clear"/>
            <w:vAlign w:val="center"/>
          </w:tcPr>
          <w:p>
            <w:pPr>
              <w:pStyle w:val="TableContents"/>
              <w:bidi w:val="0"/>
              <w:spacing w:before="0" w:after="283"/>
              <w:jc w:val="left"/>
              <w:rPr>
                <w:sz w:val="20"/>
              </w:rPr>
            </w:pPr>
            <w:r>
              <w:rPr>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sz w:val="20"/>
              </w:rPr>
            </w:pPr>
            <w:r>
              <w:rPr>
                <w:sz w:val="20"/>
              </w:rPr>
              <w:t>(71</w:t>
            </w:r>
          </w:p>
        </w:tc>
        <w:tc>
          <w:tcPr>
            <w:tcW w:w="95" w:type="dxa"/>
            <w:tcBorders/>
            <w:shd w:fill="FFFFFF" w:val="clear"/>
            <w:vAlign w:val="center"/>
          </w:tcPr>
          <w:p>
            <w:pPr>
              <w:pStyle w:val="TableContents"/>
              <w:bidi w:val="0"/>
              <w:spacing w:before="0" w:after="283"/>
              <w:jc w:val="left"/>
              <w:rPr>
                <w:sz w:val="20"/>
              </w:rPr>
            </w:pPr>
            <w:r>
              <w:rPr>
                <w:sz w:val="20"/>
              </w:rPr>
              <w:t>)</w:t>
            </w:r>
            <w:bookmarkStart w:id="179" w:name="xdx_400_eus-gaap--CashCashEquivalentsRes"/>
            <w:bookmarkEnd w:id="179"/>
          </w:p>
        </w:tc>
      </w:tr>
      <w:tr>
        <w:trPr/>
        <w:tc>
          <w:tcPr>
            <w:tcW w:w="6365" w:type="dxa"/>
            <w:tcBorders/>
            <w:shd w:fill="CCEEFF" w:val="clear"/>
            <w:vAlign w:val="center"/>
          </w:tcPr>
          <w:p>
            <w:pPr>
              <w:pStyle w:val="TableContents"/>
              <w:bidi w:val="0"/>
              <w:spacing w:before="0" w:after="283"/>
              <w:jc w:val="left"/>
              <w:rPr>
                <w:sz w:val="20"/>
              </w:rPr>
            </w:pPr>
            <w:r>
              <w:rPr>
                <w:sz w:val="20"/>
              </w:rPr>
              <w:t>Cash at beginning of period</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1,659</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359</w:t>
            </w:r>
          </w:p>
        </w:tc>
        <w:tc>
          <w:tcPr>
            <w:tcW w:w="95" w:type="dxa"/>
            <w:tcBorders/>
            <w:shd w:fill="CCEEFF" w:val="clear"/>
            <w:vAlign w:val="center"/>
          </w:tcPr>
          <w:p>
            <w:pPr>
              <w:pStyle w:val="TableContents"/>
              <w:bidi w:val="0"/>
              <w:spacing w:before="0" w:after="283"/>
              <w:jc w:val="left"/>
              <w:rPr/>
            </w:pPr>
            <w:r>
              <w:rPr/>
              <w:t> </w:t>
            </w:r>
            <w:bookmarkStart w:id="180" w:name="xdx_401_eus-gaap--CashCashEquivalentsRes"/>
            <w:bookmarkEnd w:id="180"/>
          </w:p>
        </w:tc>
      </w:tr>
      <w:tr>
        <w:trPr/>
        <w:tc>
          <w:tcPr>
            <w:tcW w:w="6365" w:type="dxa"/>
            <w:tcBorders/>
            <w:shd w:fill="FFFFFF" w:val="clear"/>
            <w:vAlign w:val="center"/>
          </w:tcPr>
          <w:p>
            <w:pPr>
              <w:pStyle w:val="TableContents"/>
              <w:bidi w:val="0"/>
              <w:spacing w:before="0" w:after="283"/>
              <w:jc w:val="left"/>
              <w:rPr>
                <w:sz w:val="20"/>
              </w:rPr>
            </w:pPr>
            <w:r>
              <w:rPr>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642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r>
        <w:rPr>
          <w:rFonts w:ascii="Times New Roman;Times;Serif" w:hAnsi="Times New Roman;Times;Serif"/>
          <w:b/>
          <w:i w:val="false"/>
          <w:caps w:val="false"/>
          <w:smallCaps w:val="false"/>
          <w:color w:val="212529"/>
          <w:sz w:val="18"/>
        </w:rPr>
        <w:t>ZAPATA QUANTUM,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bookmarkStart w:id="181" w:name="q1_005"/>
      <w:bookmarkEnd w:id="181"/>
      <w:r>
        <w:rPr>
          <w:rFonts w:ascii="Times New Roman;Times;Serif" w:hAnsi="Times New Roman;Times;Serif"/>
          <w:b/>
          <w:i w:val="false"/>
          <w:caps w:val="false"/>
          <w:smallCaps w:val="false"/>
          <w:color w:val="212529"/>
          <w:sz w:val="18"/>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r>
        <w:rPr>
          <w:rFonts w:ascii="Times New Roman;Times;Serif" w:hAnsi="Times New Roman;Times;Serif"/>
          <w:b/>
          <w:i w:val="false"/>
          <w:caps w:val="false"/>
          <w:smallCaps w:val="false"/>
          <w:color w:val="212529"/>
          <w:sz w:val="18"/>
        </w:rPr>
        <w:t>(UNAUDITED)</w:t>
      </w:r>
    </w:p>
    <w:p>
      <w:pPr>
        <w:pStyle w:val="TextBody"/>
        <w:bidi w:val="0"/>
        <w:spacing w:before="0" w:after="0"/>
        <w:ind w:left="0" w:right="0" w:hanging="0"/>
        <w:jc w:val="center"/>
        <w:rPr>
          <w:rFonts w:ascii="Times New Roman;Times;Serif" w:hAnsi="Times New Roman;Times;Serif"/>
          <w:b/>
          <w:i w:val="false"/>
          <w:caps w:val="false"/>
          <w:smallCaps w:val="false"/>
          <w:color w:val="212529"/>
          <w:sz w:val="18"/>
        </w:rPr>
      </w:pPr>
      <w:r>
        <w:rPr>
          <w:rFonts w:ascii="Times New Roman;Times;Serif" w:hAnsi="Times New Roman;Times;Serif"/>
          <w:b/>
          <w:i w:val="false"/>
          <w:caps w:val="false"/>
          <w:smallCaps w:val="false"/>
          <w:color w:val="212529"/>
          <w:sz w:val="18"/>
        </w:rPr>
        <w:t>(Dollar amounts in thousands, except per share and share amounts)</w:t>
      </w:r>
    </w:p>
    <w:p>
      <w:pPr>
        <w:pStyle w:val="TextBody"/>
        <w:bidi w:val="0"/>
        <w:spacing w:before="0" w:after="0"/>
        <w:ind w:left="0" w:right="0" w:hanging="0"/>
        <w:jc w:val="center"/>
        <w:rPr>
          <w:caps w:val="false"/>
          <w:smallCaps w:val="false"/>
          <w:color w:val="212529"/>
        </w:rPr>
      </w:pPr>
      <w:bookmarkStart w:id="182" w:name="xdx_804_eus-gaap--BusinessDescriptionAnd"/>
      <w:bookmarkEnd w:id="182"/>
      <w:r>
        <w:rPr>
          <w:caps w:val="false"/>
          <w:smallCaps w:val="false"/>
          <w:color w:val="212529"/>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1.</w:t>
            </w:r>
          </w:p>
        </w:tc>
        <w:tc>
          <w:tcPr>
            <w:tcW w:w="4070" w:type="dxa"/>
            <w:tcBorders/>
            <w:vAlign w:val="center"/>
          </w:tcPr>
          <w:p>
            <w:pPr>
              <w:pStyle w:val="TableContents"/>
              <w:bidi w:val="0"/>
              <w:spacing w:before="0" w:after="283"/>
              <w:jc w:val="left"/>
              <w:rPr>
                <w:b/>
                <w:sz w:val="20"/>
              </w:rPr>
            </w:pPr>
            <w:bookmarkStart w:id="183" w:name="xdx_82F_zqOXsCxEjIA7"/>
            <w:bookmarkEnd w:id="183"/>
            <w:r>
              <w:rPr>
                <w:b/>
                <w:sz w:val="20"/>
              </w:rPr>
              <w:t>Nature of the Business and 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(the “Company”, “we”, “us”, or “our”), following a strategic realignment in 2025, offers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The Company has worked with Fortune 500 enterprises and government agencies to unlock the potential of quantum computing.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the Company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2025, filed with the SEC on March 31, 2026 (the “Annual Report”). The accompanying condensed consolidated financial statements are unaudited, and in the opinion of management, contain all adjustments, including normal recurring adjustments, necessary to present fairly the Company’s financial position as of March 31, 2026, and the results of its operations and its cash flows for the three months ended March 31, 2026 and 2025. The balance sheet as of December 31, 2025 is derived from the Company’s audited financial statements.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For the three months ended March 31, 2026, the Company recorded a net loss of $</w:t>
      </w:r>
      <w:bookmarkStart w:id="184" w:name="xdx_908_eus-gaap--NetIncomeLoss_iN_pn3n3"/>
      <w:bookmarkEnd w:id="184"/>
      <w:r>
        <w:rPr>
          <w:rFonts w:ascii="Times New Roman;Times;Serif" w:hAnsi="Times New Roman;Times;Serif"/>
          <w:b w:val="false"/>
          <w:i w:val="false"/>
          <w:caps w:val="false"/>
          <w:smallCaps w:val="false"/>
          <w:sz w:val="20"/>
        </w:rPr>
        <w:t>1,310, used cash in operations of $</w:t>
      </w:r>
      <w:bookmarkStart w:id="185" w:name="xdx_900_eus-gaap--NetCashProvidedByUsedI"/>
      <w:bookmarkEnd w:id="185"/>
      <w:r>
        <w:rPr>
          <w:rFonts w:ascii="Times New Roman;Times;Serif" w:hAnsi="Times New Roman;Times;Serif"/>
          <w:b w:val="false"/>
          <w:i w:val="false"/>
          <w:caps w:val="false"/>
          <w:smallCaps w:val="false"/>
          <w:sz w:val="20"/>
        </w:rPr>
        <w:t>999 and had a stockholders’ deficit of $</w:t>
      </w:r>
      <w:bookmarkStart w:id="186" w:name="xdx_90E_eus-gaap--StockholdersEquity_iNI"/>
      <w:bookmarkEnd w:id="186"/>
      <w:r>
        <w:rPr>
          <w:rFonts w:ascii="Times New Roman;Times;Serif" w:hAnsi="Times New Roman;Times;Serif"/>
          <w:b w:val="false"/>
          <w:i w:val="false"/>
          <w:caps w:val="false"/>
          <w:smallCaps w:val="false"/>
          <w:sz w:val="20"/>
        </w:rPr>
        <w:t>9,357 as of that date. As of March 31, 2026, the Company had a cash balance of $</w:t>
      </w:r>
      <w:bookmarkStart w:id="187" w:name="xdx_90B_eus-gaap--Cash_iI_pn3n3_c2026033"/>
      <w:bookmarkEnd w:id="187"/>
      <w:r>
        <w:rPr>
          <w:rFonts w:ascii="Times New Roman;Times;Serif" w:hAnsi="Times New Roman;Times;Serif"/>
          <w:b w:val="false"/>
          <w:i w:val="false"/>
          <w:caps w:val="false"/>
          <w:smallCaps w:val="false"/>
          <w:sz w:val="20"/>
        </w:rPr>
        <w:t>642. Cash used in operations was primarily from the Company’s operating losses, working capital, and investment in strategic growth initiatives. The Company has incurred significant losses and negative cash flows from operations since inception and expects to continue to incur losses and negative cash flows for the foreseeable future as the Company expands its penetration of the quantum computing application development market.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the Company sold and issued to accredited investors a total of </w:t>
      </w:r>
      <w:bookmarkStart w:id="188" w:name="xdx_901_eus-gaap--SaleOfStockNumberOfSha"/>
      <w:bookmarkEnd w:id="188"/>
      <w:r>
        <w:rPr>
          <w:rFonts w:ascii="Times New Roman;Times;Serif" w:hAnsi="Times New Roman;Times;Serif"/>
          <w:b w:val="false"/>
          <w:i w:val="false"/>
          <w:caps w:val="false"/>
          <w:smallCaps w:val="false"/>
          <w:sz w:val="20"/>
        </w:rPr>
        <w:t xml:space="preserve">15,000 shares of Series D preferred stock (which are convertible into </w:t>
      </w:r>
      <w:bookmarkStart w:id="189" w:name="xdx_908_eus-gaap--ProceedsFromConvertibl"/>
      <w:bookmarkEnd w:id="189"/>
      <w:r>
        <w:rPr>
          <w:rFonts w:ascii="Times New Roman;Times;Serif" w:hAnsi="Times New Roman;Times;Serif"/>
          <w:b w:val="false"/>
          <w:i w:val="false"/>
          <w:caps w:val="false"/>
          <w:smallCaps w:val="false"/>
          <w:sz w:val="20"/>
        </w:rPr>
        <w:t xml:space="preserve">34,160,784 shares of Common Stock, subject to adjustment) and Warrants to purchase up to </w:t>
      </w:r>
      <w:bookmarkStart w:id="190" w:name="xdx_907_ecustom--NumberOfWarrantPurchase"/>
      <w:bookmarkEnd w:id="190"/>
      <w:r>
        <w:rPr>
          <w:rFonts w:ascii="Times New Roman;Times;Serif" w:hAnsi="Times New Roman;Times;Serif"/>
          <w:b w:val="false"/>
          <w:i w:val="false"/>
          <w:caps w:val="false"/>
          <w:smallCaps w:val="false"/>
          <w:sz w:val="20"/>
        </w:rPr>
        <w:t>17,080,392 shares of Common Stock (representing 50% warrant coverage on an as-converted basis) for total gross proceeds of $</w:t>
      </w:r>
      <w:bookmarkStart w:id="191" w:name="xdx_900_ecustom--GrossProceeds_pn3n3_c20"/>
      <w:bookmarkEnd w:id="191"/>
      <w:r>
        <w:rPr>
          <w:rFonts w:ascii="Times New Roman;Times;Serif" w:hAnsi="Times New Roman;Times;Serif"/>
          <w:b w:val="false"/>
          <w:i w:val="false"/>
          <w:caps w:val="false"/>
          <w:smallCaps w:val="false"/>
          <w:sz w:val="20"/>
        </w:rPr>
        <w:t>15,000. The Company received net proceeds of $</w:t>
      </w:r>
      <w:bookmarkStart w:id="192" w:name="xdx_90B_ecustom--NetProceeds_pn3n3_c2026"/>
      <w:bookmarkEnd w:id="192"/>
      <w:r>
        <w:rPr>
          <w:rFonts w:ascii="Times New Roman;Times;Serif" w:hAnsi="Times New Roman;Times;Serif"/>
          <w:b w:val="false"/>
          <w:i w:val="false"/>
          <w:caps w:val="false"/>
          <w:smallCaps w:val="false"/>
          <w:sz w:val="20"/>
        </w:rPr>
        <w:t>13,838 after deducting commissions and fees (see Note 12). The Company intends to use the net proceeds for working capital and general corporate purposes. As of the issuance date of these financial statements, management now expects that the Company’s existing cash will be sufficient to fund the Company’s current operating plan for at least twelve months from the date of issuance of these financial statements.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believes that it will be able to continue to raise funds by sale of its securities to provide the additional cash needed to meet the Company’s obligations, the restructuring activities aimed at restarting certain aspects of its core business require substantial funds to implement and there is no assurance that the Company will be able to continue raising the additional capital necessary to continue operations and execute on the Company’s business plan.</w:t>
      </w:r>
    </w:p>
    <w:p>
      <w:pPr>
        <w:pStyle w:val="TextBody"/>
        <w:bidi w:val="0"/>
        <w:spacing w:before="0" w:after="0"/>
        <w:ind w:left="0" w:right="0" w:firstLine="554"/>
        <w:jc w:val="left"/>
        <w:rPr>
          <w:caps w:val="false"/>
          <w:smallCaps w:val="false"/>
        </w:rPr>
      </w:pPr>
      <w:bookmarkStart w:id="193" w:name="xdx_234_zmVYCrv9bW"/>
      <w:bookmarkEnd w:id="19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4" w:name="xdx_80C_eus-gaap--SignificantAccountingP"/>
      <w:bookmarkEnd w:id="194"/>
      <w:r>
        <w:rPr>
          <w:rFonts w:ascii="Times New Roman;Times;Serif" w:hAnsi="Times New Roman;Times;Serif"/>
          <w:b/>
          <w:i w:val="false"/>
          <w:caps w:val="false"/>
          <w:smallCaps w:val="false"/>
          <w:sz w:val="20"/>
        </w:rPr>
        <w:t xml:space="preserve">2. </w:t>
      </w:r>
      <w:bookmarkStart w:id="195" w:name="xdx_827_z4z0qRQbc3M"/>
      <w:bookmarkEnd w:id="195"/>
      <w:r>
        <w:rPr>
          <w:rFonts w:ascii="Times New Roman;Times;Serif" w:hAnsi="Times New Roman;Times;Serif"/>
          <w:b/>
          <w:i w:val="false"/>
          <w:caps w:val="false"/>
          <w:smallCaps w:val="false"/>
          <w:sz w:val="20"/>
        </w:rPr>
        <w:t xml:space="preserve">Summary of Significant Accounting Policies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6" w:name="xdx_860_z63T69UWssFl"/>
      <w:bookmarkStart w:id="197" w:name="xdx_84F_eus-gaap--BasisOfPresentationAnd"/>
      <w:bookmarkEnd w:id="196"/>
      <w:bookmarkEnd w:id="197"/>
      <w:r>
        <w:rPr>
          <w:rFonts w:ascii="Times New Roman;Times;Serif" w:hAnsi="Times New Roman;Times;Serif"/>
          <w:b/>
          <w:i/>
          <w:caps w:val="false"/>
          <w:smallCaps w:val="false"/>
          <w:sz w:val="20"/>
        </w:rPr>
        <w:t xml:space="preserve">Use of Estimates </w:t>
      </w:r>
    </w:p>
    <w:p>
      <w:pPr>
        <w:pStyle w:val="TextBody"/>
        <w:bidi w:val="0"/>
        <w:spacing w:before="0" w:after="0"/>
        <w:ind w:left="0" w:right="0" w:firstLine="554"/>
        <w:jc w:val="both"/>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preparation of the Company’s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periods. Significant estimates and assumptions reflected within these condensed consolidated financial statements include, but are not limited to, revenue recognition, , the valuation of the Company’s Common Stock, and the fair value of stock-based awards. The Company’s estimates are based on historical information available as of the date of the unaudited condensed consolidated financial statements and various other assumptions that the Company believes are reasonable under the circumstances. Actual results may differ materially from those estimates or assumptions.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8" w:name="xdx_868_zwiVyby4Qlmc"/>
      <w:bookmarkStart w:id="199" w:name="xdx_848_ecustom--WarrantsIssuancePolicyT"/>
      <w:bookmarkEnd w:id="198"/>
      <w:bookmarkEnd w:id="199"/>
      <w:r>
        <w:rPr>
          <w:rFonts w:ascii="Times New Roman;Times;Serif" w:hAnsi="Times New Roman;Times;Serif"/>
          <w:b/>
          <w:i/>
          <w:caps w:val="false"/>
          <w:smallCaps w:val="false"/>
          <w:sz w:val="20"/>
        </w:rPr>
        <w:t>Warrant Instruments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hanging="0"/>
        <w:jc w:val="left"/>
        <w:rPr>
          <w:rFonts w:ascii="Times New Roman;Times;Serif" w:hAnsi="Times New Roman;Times;Serif"/>
          <w:b/>
          <w:i/>
          <w:caps w:val="false"/>
          <w:smallCaps w:val="false"/>
          <w:sz w:val="20"/>
        </w:rPr>
      </w:pPr>
      <w:bookmarkStart w:id="200" w:name="xdx_867_z8Kc8Fb5yYUf"/>
      <w:bookmarkStart w:id="201" w:name="xdx_842_ecustom--OtherPoliciesPolicyText"/>
      <w:bookmarkEnd w:id="200"/>
      <w:bookmarkEnd w:id="201"/>
      <w:r>
        <w:rPr>
          <w:rFonts w:ascii="Times New Roman;Times;Serif" w:hAnsi="Times New Roman;Times;Serif"/>
          <w:b/>
          <w:i/>
          <w:caps w:val="false"/>
          <w:smallCaps w:val="false"/>
          <w:sz w:val="20"/>
        </w:rPr>
        <w:t>Other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02" w:name="xdx_86B_zPk2RDeJGuag"/>
      <w:bookmarkStart w:id="203" w:name="xdx_848_eus-gaap--NewAccountingPronounce"/>
      <w:bookmarkEnd w:id="202"/>
      <w:bookmarkEnd w:id="203"/>
      <w:r>
        <w:rPr>
          <w:rFonts w:ascii="Times New Roman;Times;Serif" w:hAnsi="Times New Roman;Times;Serif"/>
          <w:b/>
          <w:i/>
          <w:caps w:val="false"/>
          <w:smallCaps w:val="false"/>
          <w:sz w:val="20"/>
        </w:rPr>
        <w:t xml:space="preserve">Recently Issued Accounting Pronouncements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firstLine="554"/>
        <w:jc w:val="left"/>
        <w:rPr>
          <w:caps w:val="false"/>
          <w:smallCaps w:val="false"/>
        </w:rPr>
      </w:pPr>
      <w:bookmarkStart w:id="204" w:name="xdx_23E_zW1WcRU7m3b"/>
      <w:bookmarkEnd w:id="20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5" w:name="xdx_808_ecustom--DisclosureOfAccruedExpe"/>
      <w:bookmarkEnd w:id="205"/>
      <w:r>
        <w:rPr>
          <w:rFonts w:ascii="Times New Roman;Times;Serif" w:hAnsi="Times New Roman;Times;Serif"/>
          <w:b/>
          <w:i w:val="false"/>
          <w:caps w:val="false"/>
          <w:smallCaps w:val="false"/>
          <w:sz w:val="20"/>
        </w:rPr>
        <w:t xml:space="preserve">3. </w:t>
      </w:r>
      <w:bookmarkStart w:id="206" w:name="xdx_82A_zGKPuOjqTwsa"/>
      <w:bookmarkEnd w:id="206"/>
      <w:r>
        <w:rPr>
          <w:rFonts w:ascii="Times New Roman;Times;Serif" w:hAnsi="Times New Roman;Times;Serif"/>
          <w:b/>
          <w:i w:val="false"/>
          <w:caps w:val="false"/>
          <w:smallCaps w:val="false"/>
          <w:sz w:val="20"/>
        </w:rPr>
        <w:t xml:space="preserve">Accrued Expenses and Other Current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Normal"/>
        <w:bidi w:val="0"/>
        <w:spacing w:before="0" w:after="0"/>
        <w:jc w:val="left"/>
        <w:rPr>
          <w:sz w:val="4"/>
          <w:szCs w:val="4"/>
        </w:rPr>
      </w:pPr>
      <w:r>
        <w:rPr>
          <w:sz w:val="4"/>
          <w:szCs w:val="4"/>
        </w:rPr>
      </w:r>
      <w:bookmarkStart w:id="207" w:name="xdx_886_ecustom--SummaryOfAccruedExpense"/>
      <w:bookmarkStart w:id="208" w:name="xdx_886_ecustom--SummaryOfAccruedExpense"/>
      <w:bookmarkEnd w:id="208"/>
    </w:p>
    <w:tbl>
      <w:tblPr>
        <w:tblW w:w="7530" w:type="dxa"/>
        <w:jc w:val="left"/>
        <w:tblInd w:w="0" w:type="dxa"/>
        <w:tblLayout w:type="fixed"/>
        <w:tblCellMar>
          <w:top w:w="0" w:type="dxa"/>
          <w:left w:w="0" w:type="dxa"/>
          <w:bottom w:w="0" w:type="dxa"/>
          <w:right w:w="0" w:type="dxa"/>
        </w:tblCellMar>
      </w:tblPr>
      <w:tblGrid>
        <w:gridCol w:w="5495"/>
        <w:gridCol w:w="60"/>
        <w:gridCol w:w="157"/>
        <w:gridCol w:w="613"/>
        <w:gridCol w:w="60"/>
        <w:gridCol w:w="60"/>
        <w:gridCol w:w="206"/>
        <w:gridCol w:w="804"/>
        <w:gridCol w:w="75"/>
      </w:tblGrid>
      <w:tr>
        <w:trPr/>
        <w:tc>
          <w:tcPr>
            <w:tcW w:w="5495" w:type="dxa"/>
            <w:tcBorders/>
            <w:vAlign w:val="center"/>
          </w:tcPr>
          <w:p>
            <w:pPr>
              <w:pStyle w:val="TableContents"/>
              <w:bidi w:val="0"/>
              <w:spacing w:before="0" w:after="283"/>
              <w:jc w:val="left"/>
              <w:rPr/>
            </w:pPr>
            <w:bookmarkStart w:id="209" w:name="xdx_8BF_zxYUyysS8Nxd"/>
            <w:bookmarkEnd w:id="209"/>
            <w:r>
              <w:rPr/>
              <w:t> </w:t>
            </w:r>
            <w:r>
              <w:rPr/>
              <w:t>Schedule of accrued expenses and other current liabilities</w:t>
            </w:r>
          </w:p>
        </w:tc>
        <w:tc>
          <w:tcPr>
            <w:tcW w:w="60" w:type="dxa"/>
            <w:tcBorders/>
            <w:vAlign w:val="center"/>
          </w:tcPr>
          <w:p>
            <w:pPr>
              <w:pStyle w:val="TableContents"/>
              <w:bidi w:val="0"/>
              <w:spacing w:before="0" w:after="283"/>
              <w:jc w:val="left"/>
              <w:rPr/>
            </w:pPr>
            <w:r>
              <w:rPr/>
              <w:t> </w:t>
            </w:r>
            <w:bookmarkStart w:id="210" w:name="xdx_492_20260331_zMB8tLEjGBRl"/>
            <w:bookmarkEnd w:id="210"/>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 w:name="xdx_495_20251231_z6MB4iKH0NK4"/>
            <w:bookmarkEnd w:id="211"/>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bookmarkStart w:id="212" w:name="xdx_406_eus-gaap--AccruedEmployeeBenefit"/>
            <w:bookmarkEnd w:id="212"/>
          </w:p>
        </w:tc>
      </w:tr>
      <w:tr>
        <w:trPr/>
        <w:tc>
          <w:tcPr>
            <w:tcW w:w="5495" w:type="dxa"/>
            <w:tcBorders/>
            <w:shd w:fill="CCEEFF" w:val="clear"/>
            <w:vAlign w:val="center"/>
          </w:tcPr>
          <w:p>
            <w:pPr>
              <w:pStyle w:val="TableContents"/>
              <w:bidi w:val="0"/>
              <w:spacing w:before="0" w:after="283"/>
              <w:jc w:val="left"/>
              <w:rPr>
                <w:sz w:val="20"/>
              </w:rPr>
            </w:pPr>
            <w:r>
              <w:rPr>
                <w:sz w:val="20"/>
              </w:rPr>
              <w:t>Accrued employee compensation and benefit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20"/>
              </w:rPr>
            </w:pPr>
            <w:r>
              <w:rPr>
                <w:sz w:val="20"/>
              </w:rPr>
              <w:t>$</w:t>
            </w:r>
          </w:p>
        </w:tc>
        <w:tc>
          <w:tcPr>
            <w:tcW w:w="613" w:type="dxa"/>
            <w:tcBorders/>
            <w:shd w:fill="CCEEFF" w:val="clear"/>
            <w:vAlign w:val="center"/>
          </w:tcPr>
          <w:p>
            <w:pPr>
              <w:pStyle w:val="TableContents"/>
              <w:bidi w:val="0"/>
              <w:spacing w:before="0" w:after="283"/>
              <w:jc w:val="right"/>
              <w:rPr>
                <w:sz w:val="20"/>
              </w:rPr>
            </w:pPr>
            <w:r>
              <w:rPr>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20"/>
              </w:rPr>
            </w:pPr>
            <w:r>
              <w:rPr>
                <w:sz w:val="20"/>
              </w:rPr>
              <w:t>$</w:t>
            </w:r>
          </w:p>
        </w:tc>
        <w:tc>
          <w:tcPr>
            <w:tcW w:w="804" w:type="dxa"/>
            <w:tcBorders/>
            <w:shd w:fill="CCEEFF" w:val="clear"/>
            <w:vAlign w:val="center"/>
          </w:tcPr>
          <w:p>
            <w:pPr>
              <w:pStyle w:val="TableContents"/>
              <w:bidi w:val="0"/>
              <w:spacing w:before="0" w:after="283"/>
              <w:jc w:val="right"/>
              <w:rPr>
                <w:sz w:val="20"/>
              </w:rPr>
            </w:pPr>
            <w:r>
              <w:rPr>
                <w:sz w:val="20"/>
              </w:rPr>
              <w:t>73</w:t>
            </w:r>
          </w:p>
        </w:tc>
        <w:tc>
          <w:tcPr>
            <w:tcW w:w="75" w:type="dxa"/>
            <w:tcBorders/>
            <w:shd w:fill="CCEEFF" w:val="clear"/>
            <w:vAlign w:val="center"/>
          </w:tcPr>
          <w:p>
            <w:pPr>
              <w:pStyle w:val="TableContents"/>
              <w:bidi w:val="0"/>
              <w:spacing w:before="0" w:after="283"/>
              <w:jc w:val="left"/>
              <w:rPr/>
            </w:pPr>
            <w:r>
              <w:rPr/>
              <w:t> </w:t>
            </w:r>
            <w:bookmarkStart w:id="213" w:name="xdx_402_eus-gaap--AccruedProfessionalFee"/>
            <w:bookmarkEnd w:id="213"/>
          </w:p>
        </w:tc>
      </w:tr>
      <w:tr>
        <w:trPr/>
        <w:tc>
          <w:tcPr>
            <w:tcW w:w="5495" w:type="dxa"/>
            <w:tcBorders/>
            <w:shd w:fill="FFFFFF" w:val="clear"/>
            <w:vAlign w:val="center"/>
          </w:tcPr>
          <w:p>
            <w:pPr>
              <w:pStyle w:val="TableContents"/>
              <w:bidi w:val="0"/>
              <w:spacing w:before="0" w:after="283"/>
              <w:jc w:val="left"/>
              <w:rPr>
                <w:sz w:val="20"/>
              </w:rPr>
            </w:pPr>
            <w:r>
              <w:rPr>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sz w:val="20"/>
              </w:rPr>
            </w:pPr>
            <w:r>
              <w:rPr>
                <w:sz w:val="20"/>
              </w:rPr>
              <w:t>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259</w:t>
            </w:r>
          </w:p>
        </w:tc>
        <w:tc>
          <w:tcPr>
            <w:tcW w:w="75" w:type="dxa"/>
            <w:tcBorders/>
            <w:shd w:fill="FFFFFF" w:val="clear"/>
            <w:vAlign w:val="center"/>
          </w:tcPr>
          <w:p>
            <w:pPr>
              <w:pStyle w:val="TableContents"/>
              <w:bidi w:val="0"/>
              <w:spacing w:before="0" w:after="283"/>
              <w:jc w:val="left"/>
              <w:rPr/>
            </w:pPr>
            <w:r>
              <w:rPr/>
              <w:t> </w:t>
            </w:r>
            <w:bookmarkStart w:id="214" w:name="xdx_403_eus-gaap--InterestPayableCurrent"/>
            <w:bookmarkEnd w:id="214"/>
          </w:p>
        </w:tc>
      </w:tr>
      <w:tr>
        <w:trPr/>
        <w:tc>
          <w:tcPr>
            <w:tcW w:w="5495" w:type="dxa"/>
            <w:tcBorders/>
            <w:shd w:fill="CCEEFF" w:val="clear"/>
            <w:vAlign w:val="center"/>
          </w:tcPr>
          <w:p>
            <w:pPr>
              <w:pStyle w:val="TableContents"/>
              <w:bidi w:val="0"/>
              <w:spacing w:before="0" w:after="283"/>
              <w:jc w:val="left"/>
              <w:rPr>
                <w:sz w:val="20"/>
              </w:rPr>
            </w:pPr>
            <w:r>
              <w:rPr>
                <w:sz w:val="20"/>
              </w:rPr>
              <w:t>Refunds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sz w:val="20"/>
              </w:rPr>
            </w:pPr>
            <w:r>
              <w:rPr>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750</w:t>
            </w:r>
          </w:p>
        </w:tc>
        <w:tc>
          <w:tcPr>
            <w:tcW w:w="75" w:type="dxa"/>
            <w:tcBorders/>
            <w:shd w:fill="CCEEFF" w:val="clear"/>
            <w:vAlign w:val="center"/>
          </w:tcPr>
          <w:p>
            <w:pPr>
              <w:pStyle w:val="TableContents"/>
              <w:bidi w:val="0"/>
              <w:spacing w:before="0" w:after="283"/>
              <w:jc w:val="left"/>
              <w:rPr/>
            </w:pPr>
            <w:r>
              <w:rPr/>
              <w:t> </w:t>
            </w:r>
            <w:bookmarkStart w:id="215" w:name="xdx_406_eus-gaap--OtherAccruedLiabilitie"/>
            <w:bookmarkEnd w:id="215"/>
          </w:p>
        </w:tc>
      </w:tr>
      <w:tr>
        <w:trPr/>
        <w:tc>
          <w:tcPr>
            <w:tcW w:w="5495"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682</w:t>
            </w:r>
          </w:p>
        </w:tc>
        <w:tc>
          <w:tcPr>
            <w:tcW w:w="75" w:type="dxa"/>
            <w:tcBorders/>
            <w:shd w:fill="FFFFFF" w:val="clear"/>
            <w:vAlign w:val="center"/>
          </w:tcPr>
          <w:p>
            <w:pPr>
              <w:pStyle w:val="TableContents"/>
              <w:bidi w:val="0"/>
              <w:spacing w:before="0" w:after="283"/>
              <w:jc w:val="left"/>
              <w:rPr/>
            </w:pPr>
            <w:r>
              <w:rPr/>
              <w:t> </w:t>
            </w:r>
            <w:bookmarkStart w:id="216" w:name="xdx_40D_eus-gaap--AccruedLiabilitiesAndO"/>
            <w:bookmarkEnd w:id="216"/>
          </w:p>
        </w:tc>
      </w:tr>
      <w:tr>
        <w:trPr/>
        <w:tc>
          <w:tcPr>
            <w:tcW w:w="5495" w:type="dxa"/>
            <w:tcBorders/>
            <w:shd w:fill="CCEEFF" w:val="clear"/>
            <w:vAlign w:val="center"/>
          </w:tcPr>
          <w:p>
            <w:pPr>
              <w:pStyle w:val="TableContents"/>
              <w:bidi w:val="0"/>
              <w:spacing w:before="0" w:after="283"/>
              <w:jc w:val="left"/>
              <w:rPr>
                <w:color w:val="CCEEFF"/>
                <w:sz w:val="20"/>
              </w:rPr>
            </w:pPr>
            <w:r>
              <w:rPr>
                <w:color w:val="CCEEF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7" w:name="xdx_80F_eus-gaap--DebtDisclosureTextBloc"/>
      <w:bookmarkEnd w:id="217"/>
      <w:r>
        <w:rPr>
          <w:rFonts w:ascii="Times New Roman;Times;Serif" w:hAnsi="Times New Roman;Times;Serif"/>
          <w:b/>
          <w:i w:val="false"/>
          <w:caps w:val="false"/>
          <w:smallCaps w:val="false"/>
          <w:sz w:val="20"/>
        </w:rPr>
        <w:t xml:space="preserve">4. </w:t>
      </w:r>
      <w:bookmarkStart w:id="218" w:name="xdx_82B_zQRqkPt44fWc"/>
      <w:bookmarkEnd w:id="218"/>
      <w:r>
        <w:rPr>
          <w:rFonts w:ascii="Times New Roman;Times;Serif" w:hAnsi="Times New Roman;Times;Serif"/>
          <w:b/>
          <w:i w:val="false"/>
          <w:caps w:val="false"/>
          <w:smallCaps w:val="false"/>
          <w:sz w:val="20"/>
        </w:rPr>
        <w:t xml:space="preserve">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outstanding as of March 31, 2026 and December 31, 2025 consisted of the following:</w:t>
      </w:r>
    </w:p>
    <w:p>
      <w:pPr>
        <w:pStyle w:val="Normal"/>
        <w:bidi w:val="0"/>
        <w:spacing w:before="0" w:after="0"/>
        <w:jc w:val="left"/>
        <w:rPr>
          <w:sz w:val="4"/>
          <w:szCs w:val="4"/>
        </w:rPr>
      </w:pPr>
      <w:r>
        <w:rPr>
          <w:sz w:val="4"/>
          <w:szCs w:val="4"/>
        </w:rPr>
      </w:r>
      <w:bookmarkStart w:id="219" w:name="xdx_881_eus-gaap--ScheduleOfDebtTableTex"/>
      <w:bookmarkStart w:id="220" w:name="xdx_881_eus-gaap--ScheduleOfDebtTableTex"/>
      <w:bookmarkEnd w:id="220"/>
    </w:p>
    <w:tbl>
      <w:tblPr>
        <w:tblW w:w="8099" w:type="dxa"/>
        <w:jc w:val="left"/>
        <w:tblInd w:w="0" w:type="dxa"/>
        <w:tblLayout w:type="fixed"/>
        <w:tblCellMar>
          <w:top w:w="0" w:type="dxa"/>
          <w:left w:w="0" w:type="dxa"/>
          <w:bottom w:w="0" w:type="dxa"/>
          <w:right w:w="0" w:type="dxa"/>
        </w:tblCellMar>
      </w:tblPr>
      <w:tblGrid>
        <w:gridCol w:w="6065"/>
        <w:gridCol w:w="60"/>
        <w:gridCol w:w="157"/>
        <w:gridCol w:w="612"/>
        <w:gridCol w:w="60"/>
        <w:gridCol w:w="60"/>
        <w:gridCol w:w="206"/>
        <w:gridCol w:w="804"/>
        <w:gridCol w:w="75"/>
      </w:tblGrid>
      <w:tr>
        <w:trPr/>
        <w:tc>
          <w:tcPr>
            <w:tcW w:w="6065" w:type="dxa"/>
            <w:tcBorders/>
            <w:vAlign w:val="center"/>
          </w:tcPr>
          <w:p>
            <w:pPr>
              <w:pStyle w:val="TableContents"/>
              <w:bidi w:val="0"/>
              <w:spacing w:before="0" w:after="283"/>
              <w:jc w:val="left"/>
              <w:rPr/>
            </w:pPr>
            <w:bookmarkStart w:id="221" w:name="xdx_8BD_zJdxCUDl9r1k"/>
            <w:bookmarkEnd w:id="221"/>
            <w:r>
              <w:rPr/>
              <w:t> </w:t>
            </w:r>
            <w:r>
              <w:rPr/>
              <w:t>Schedule of the aggregate principal amount of debt outstanding</w:t>
            </w:r>
          </w:p>
        </w:tc>
        <w:tc>
          <w:tcPr>
            <w:tcW w:w="60" w:type="dxa"/>
            <w:tcBorders/>
            <w:vAlign w:val="center"/>
          </w:tcPr>
          <w:p>
            <w:pPr>
              <w:pStyle w:val="TableContents"/>
              <w:bidi w:val="0"/>
              <w:spacing w:before="0" w:after="283"/>
              <w:jc w:val="left"/>
              <w:rPr/>
            </w:pPr>
            <w:r>
              <w:rPr/>
              <w:t> </w:t>
            </w:r>
            <w:bookmarkStart w:id="222" w:name="xdx_498_20260331_zp9qYPIDuvH9"/>
            <w:bookmarkEnd w:id="222"/>
          </w:p>
        </w:tc>
        <w:tc>
          <w:tcPr>
            <w:tcW w:w="7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96_20251231_z1cCnN0VyGv"/>
            <w:bookmarkEnd w:id="223"/>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bookmarkStart w:id="224" w:name="xdx_404_ecustom--SeniorSecuredNotes_iI_p"/>
            <w:bookmarkEnd w:id="224"/>
          </w:p>
        </w:tc>
      </w:tr>
      <w:tr>
        <w:trPr/>
        <w:tc>
          <w:tcPr>
            <w:tcW w:w="6065" w:type="dxa"/>
            <w:tcBorders/>
            <w:shd w:fill="CCEEFF" w:val="clear"/>
            <w:vAlign w:val="center"/>
          </w:tcPr>
          <w:p>
            <w:pPr>
              <w:pStyle w:val="TableContents"/>
              <w:bidi w:val="0"/>
              <w:spacing w:before="0" w:after="283"/>
              <w:jc w:val="left"/>
              <w:rPr>
                <w:sz w:val="20"/>
              </w:rPr>
            </w:pPr>
            <w:r>
              <w:rPr>
                <w:sz w:val="20"/>
              </w:rPr>
              <w:t>Senior secured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20"/>
              </w:rPr>
            </w:pPr>
            <w:r>
              <w:rPr>
                <w:sz w:val="20"/>
              </w:rPr>
              <w:t>$</w:t>
            </w:r>
          </w:p>
        </w:tc>
        <w:tc>
          <w:tcPr>
            <w:tcW w:w="612" w:type="dxa"/>
            <w:tcBorders/>
            <w:shd w:fill="CCEEFF" w:val="clear"/>
            <w:vAlign w:val="center"/>
          </w:tcPr>
          <w:p>
            <w:pPr>
              <w:pStyle w:val="TableContents"/>
              <w:bidi w:val="0"/>
              <w:spacing w:before="0" w:after="283"/>
              <w:jc w:val="right"/>
              <w:rPr>
                <w:sz w:val="20"/>
              </w:rPr>
            </w:pPr>
            <w:r>
              <w:rPr>
                <w:sz w:val="20"/>
              </w:rPr>
              <w:t>1,311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sz w:val="20"/>
              </w:rPr>
            </w:pPr>
            <w:r>
              <w:rPr>
                <w:sz w:val="20"/>
              </w:rPr>
              <w:t>$</w:t>
            </w:r>
          </w:p>
        </w:tc>
        <w:tc>
          <w:tcPr>
            <w:tcW w:w="804" w:type="dxa"/>
            <w:tcBorders/>
            <w:shd w:fill="CCEEFF" w:val="clear"/>
            <w:vAlign w:val="center"/>
          </w:tcPr>
          <w:p>
            <w:pPr>
              <w:pStyle w:val="TableContents"/>
              <w:bidi w:val="0"/>
              <w:spacing w:before="0" w:after="283"/>
              <w:jc w:val="right"/>
              <w:rPr>
                <w:sz w:val="20"/>
              </w:rPr>
            </w:pPr>
            <w:r>
              <w:rPr>
                <w:sz w:val="20"/>
              </w:rPr>
              <w:t>1,273</w:t>
            </w:r>
          </w:p>
        </w:tc>
        <w:tc>
          <w:tcPr>
            <w:tcW w:w="75" w:type="dxa"/>
            <w:tcBorders/>
            <w:shd w:fill="CCEEFF" w:val="clear"/>
            <w:vAlign w:val="center"/>
          </w:tcPr>
          <w:p>
            <w:pPr>
              <w:pStyle w:val="TableContents"/>
              <w:bidi w:val="0"/>
              <w:spacing w:before="0" w:after="283"/>
              <w:jc w:val="left"/>
              <w:rPr/>
            </w:pPr>
            <w:r>
              <w:rPr/>
              <w:t> </w:t>
            </w:r>
            <w:bookmarkStart w:id="225" w:name="xdx_405_ecustom--ConvertiblePromissoryNo"/>
            <w:bookmarkEnd w:id="225"/>
          </w:p>
        </w:tc>
      </w:tr>
      <w:tr>
        <w:trPr/>
        <w:tc>
          <w:tcPr>
            <w:tcW w:w="6065" w:type="dxa"/>
            <w:tcBorders/>
            <w:shd w:fill="FFFFFF" w:val="clear"/>
            <w:vAlign w:val="center"/>
          </w:tcPr>
          <w:p>
            <w:pPr>
              <w:pStyle w:val="TableContents"/>
              <w:bidi w:val="0"/>
              <w:spacing w:before="0" w:after="283"/>
              <w:jc w:val="left"/>
              <w:rPr>
                <w:sz w:val="20"/>
              </w:rPr>
            </w:pPr>
            <w:r>
              <w:rPr>
                <w:sz w:val="20"/>
              </w:rPr>
              <w:t>Convertible promissory notes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3,133</w:t>
            </w:r>
          </w:p>
        </w:tc>
        <w:tc>
          <w:tcPr>
            <w:tcW w:w="75" w:type="dxa"/>
            <w:tcBorders/>
            <w:shd w:fill="FFFFFF" w:val="clear"/>
            <w:vAlign w:val="center"/>
          </w:tcPr>
          <w:p>
            <w:pPr>
              <w:pStyle w:val="TableContents"/>
              <w:bidi w:val="0"/>
              <w:spacing w:before="0" w:after="283"/>
              <w:jc w:val="left"/>
              <w:rPr/>
            </w:pPr>
            <w:r>
              <w:rPr/>
              <w:t> </w:t>
            </w:r>
            <w:bookmarkStart w:id="226" w:name="xdx_40B_eus-gaap--DebtLongtermAndShortte"/>
            <w:bookmarkEnd w:id="226"/>
          </w:p>
        </w:tc>
      </w:tr>
      <w:tr>
        <w:trPr/>
        <w:tc>
          <w:tcPr>
            <w:tcW w:w="6065" w:type="dxa"/>
            <w:tcBorders/>
            <w:shd w:fill="CCEEFF" w:val="clear"/>
            <w:vAlign w:val="center"/>
          </w:tcPr>
          <w:p>
            <w:pPr>
              <w:pStyle w:val="TableContents"/>
              <w:bidi w:val="0"/>
              <w:spacing w:before="0" w:after="283"/>
              <w:jc w:val="left"/>
              <w:rPr>
                <w:color w:val="CCEEFF"/>
                <w:sz w:val="20"/>
              </w:rPr>
            </w:pPr>
            <w:r>
              <w:rPr>
                <w:color w:val="CCEEFF"/>
                <w:sz w:val="20"/>
              </w:rPr>
              <w:t>Total Debt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Secured Notes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Senior Secured Notes bear interest at the compound rate of </w:t>
      </w:r>
      <w:bookmarkStart w:id="227" w:name="xdx_907_eus-gaap--DebtInstrumentInterest"/>
      <w:bookmarkEnd w:id="227"/>
      <w:r>
        <w:rPr>
          <w:rFonts w:ascii="Times New Roman;Times;Serif" w:hAnsi="Times New Roman;Times;Serif"/>
          <w:b w:val="false"/>
          <w:i w:val="false"/>
          <w:caps w:val="false"/>
          <w:smallCaps w:val="false"/>
          <w:sz w:val="20"/>
        </w:rPr>
        <w:t>15% per annum and are convertible at the option of each noteholder at $</w:t>
      </w:r>
      <w:bookmarkStart w:id="228" w:name="xdx_90C_eus-gaap--SharePrice_iI_pid_c202"/>
      <w:bookmarkEnd w:id="228"/>
      <w:r>
        <w:rPr>
          <w:rFonts w:ascii="Times New Roman;Times;Serif" w:hAnsi="Times New Roman;Times;Serif"/>
          <w:b w:val="false"/>
          <w:i w:val="false"/>
          <w:caps w:val="false"/>
          <w:smallCaps w:val="false"/>
          <w:sz w:val="20"/>
        </w:rPr>
        <w:t xml:space="preserve">8.50 per share. The outstanding principal amount of the Senior Secured Notes and all accrued but unpaid interest will be due and payable at the maturity date, </w:t>
      </w:r>
      <w:bookmarkStart w:id="229" w:name="xdx_90D_eus-gaap--DebtInstrumentMaturity"/>
      <w:bookmarkEnd w:id="229"/>
      <w:r>
        <w:rPr>
          <w:rFonts w:ascii="Times New Roman;Times;Serif" w:hAnsi="Times New Roman;Times;Serif"/>
          <w:b w:val="false"/>
          <w:i w:val="false"/>
          <w:caps w:val="false"/>
          <w:smallCaps w:val="false"/>
          <w:sz w:val="20"/>
        </w:rPr>
        <w:t>December 15, 2026, unless otherwise converted. While any Senior Secured Notes are outstanding, the Company cannot incur additional indebtedness for borrowed funds, except additional Senior Secured Notes, substantially similar notes or other debt instruments that are pari passu with or subordinate to the Senior Secured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principal and accrued interest outstanding under the Senior Secured Notes totaled $</w:t>
      </w:r>
      <w:bookmarkStart w:id="230" w:name="xdx_90A_eus-gaap--SecuredDebt_iI_pn3n3_c"/>
      <w:bookmarkEnd w:id="230"/>
      <w:r>
        <w:rPr>
          <w:rFonts w:ascii="Times New Roman;Times;Serif" w:hAnsi="Times New Roman;Times;Serif"/>
          <w:b w:val="false"/>
          <w:i w:val="false"/>
          <w:caps w:val="false"/>
          <w:smallCaps w:val="false"/>
          <w:sz w:val="20"/>
        </w:rPr>
        <w:t>1,273. The Company recognized approximately $</w:t>
      </w:r>
      <w:bookmarkStart w:id="231" w:name="xdx_904_eus-gaap--InterestExpense_pn3n3_"/>
      <w:bookmarkEnd w:id="231"/>
      <w:r>
        <w:rPr>
          <w:rFonts w:ascii="Times New Roman;Times;Serif" w:hAnsi="Times New Roman;Times;Serif"/>
          <w:b w:val="false"/>
          <w:i w:val="false"/>
          <w:caps w:val="false"/>
          <w:smallCaps w:val="false"/>
          <w:sz w:val="20"/>
        </w:rPr>
        <w:t>38 of interest expense for the three months ended March 31, 2026, which is included within interest expense in the condensed consolidated statements of operations and comprehensive income (loss). As of March 31, 2026, the aggregate principal and accrued interest outstanding under the Senior Secured Notes totaled $</w:t>
      </w:r>
      <w:bookmarkStart w:id="232" w:name="xdx_908_eus-gaap--SecuredDebt_iI_pn3n3_c"/>
      <w:bookmarkEnd w:id="232"/>
      <w:r>
        <w:rPr>
          <w:rFonts w:ascii="Times New Roman;Times;Serif" w:hAnsi="Times New Roman;Times;Serif"/>
          <w:b w:val="false"/>
          <w:i w:val="false"/>
          <w:caps w:val="false"/>
          <w:smallCaps w:val="false"/>
          <w:sz w:val="20"/>
        </w:rPr>
        <w:t>1,311.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Company entered into a security purchase agreement with accredited investors pursuant to which the Company sold and issued secured convertible promissory notes (“Convertible Promissory Notes”) and warrants to purchase </w:t>
      </w:r>
      <w:bookmarkStart w:id="233" w:name="xdx_904_ecustom--NumberOfWarrantPurchase"/>
      <w:bookmarkEnd w:id="233"/>
      <w:r>
        <w:rPr>
          <w:rFonts w:ascii="Times New Roman;Times;Serif" w:hAnsi="Times New Roman;Times;Serif"/>
          <w:b w:val="false"/>
          <w:i w:val="false"/>
          <w:caps w:val="false"/>
          <w:smallCaps w:val="false"/>
          <w:sz w:val="20"/>
        </w:rPr>
        <w:t>37,500,000 shares of Common Stock (“Warrants”) for total gross proceeds of $</w:t>
      </w:r>
      <w:bookmarkStart w:id="234" w:name="xdx_907_eus-gaap--ProceedsFromIssuanceOf"/>
      <w:bookmarkEnd w:id="234"/>
      <w:r>
        <w:rPr>
          <w:rFonts w:ascii="Times New Roman;Times;Serif" w:hAnsi="Times New Roman;Times;Serif"/>
          <w:b w:val="false"/>
          <w:i w:val="false"/>
          <w:caps w:val="false"/>
          <w:smallCaps w:val="false"/>
          <w:sz w:val="20"/>
        </w:rPr>
        <w:t>3,000.</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Promissory Notes bear simple interest at a rate of </w:t>
      </w:r>
      <w:bookmarkStart w:id="235" w:name="xdx_901_eus-gaap--DebtInstrumentInterest"/>
      <w:bookmarkEnd w:id="235"/>
      <w:r>
        <w:rPr>
          <w:rFonts w:ascii="Times New Roman;Times;Serif" w:hAnsi="Times New Roman;Times;Serif"/>
          <w:b w:val="false"/>
          <w:i w:val="false"/>
          <w:caps w:val="false"/>
          <w:smallCaps w:val="false"/>
          <w:sz w:val="20"/>
        </w:rPr>
        <w:t>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may not be prepaid before the maturity date without the written consent of the holder and is secured pursuant to a Security Agreement entered into concurrently with the issuance.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Promissory Notes are convertible into </w:t>
      </w:r>
      <w:bookmarkStart w:id="236" w:name="xdx_90E_eus-gaap--ConversionOfStockShare"/>
      <w:bookmarkEnd w:id="236"/>
      <w:r>
        <w:rPr>
          <w:rFonts w:ascii="Times New Roman;Times;Serif" w:hAnsi="Times New Roman;Times;Serif"/>
          <w:b w:val="false"/>
          <w:i w:val="false"/>
          <w:caps w:val="false"/>
          <w:smallCaps w:val="false"/>
          <w:sz w:val="20"/>
        </w:rPr>
        <w:t>75,000,000 shares of the Company’s Common Stock at the option of the holder at any time prior to repayment. The conversion price is $</w:t>
      </w:r>
      <w:bookmarkStart w:id="237" w:name="xdx_904_eus-gaap--DebtInstrumentConverti"/>
      <w:bookmarkEnd w:id="237"/>
      <w:r>
        <w:rPr>
          <w:rFonts w:ascii="Times New Roman;Times;Serif" w:hAnsi="Times New Roman;Times;Serif"/>
          <w:b w:val="false"/>
          <w:i w:val="false"/>
          <w:caps w:val="false"/>
          <w:smallCaps w:val="false"/>
          <w:sz w:val="20"/>
        </w:rPr>
        <w:t>0.04 per share, subject to customary anti-dilution adjustments for stock splits, stock dividends, combinations, or recapitalizations (the “Conversion Price”). Upon conversion, any unpaid accrued interest is automatically forgiven.</w:t>
      </w:r>
    </w:p>
    <w:p>
      <w:pPr>
        <w:pStyle w:val="TextBody"/>
        <w:bidi w:val="0"/>
        <w:spacing w:before="0" w:after="0"/>
        <w:ind w:left="0" w:right="0" w:firstLine="540"/>
        <w:jc w:val="left"/>
        <w:rPr>
          <w:caps w:val="false"/>
          <w:smallCaps w:val="false"/>
        </w:rPr>
      </w:pPr>
      <w:bookmarkStart w:id="238" w:name="xdx_23F_zMTDJf8ScEG4"/>
      <w:bookmarkEnd w:id="23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balance under the Convertible Promissory Notes automatically convert into Common Stock upon the closing of a Qualified Financing, which excludes the issuance of Preferred Shares, with aggregate gross proceeds of at least $</w:t>
      </w:r>
      <w:bookmarkStart w:id="239" w:name="xdx_90C_eus-gaap--ConversionOfStockAmoun"/>
      <w:bookmarkEnd w:id="239"/>
      <w:r>
        <w:rPr>
          <w:rFonts w:ascii="Times New Roman;Times;Serif" w:hAnsi="Times New Roman;Times;Serif"/>
          <w:b w:val="false"/>
          <w:i w:val="false"/>
          <w:caps w:val="false"/>
          <w:smallCaps w:val="false"/>
          <w:sz w:val="20"/>
        </w:rPr>
        <w:t>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Promissory Notes, the Company incurred debt issuance costs totaling $</w:t>
      </w:r>
      <w:bookmarkStart w:id="240" w:name="xdx_90A_eus-gaap--DeferredFinanceCostsNe"/>
      <w:bookmarkEnd w:id="240"/>
      <w:r>
        <w:rPr>
          <w:rFonts w:ascii="Times New Roman;Times;Serif" w:hAnsi="Times New Roman;Times;Serif"/>
          <w:b w:val="false"/>
          <w:i w:val="false"/>
          <w:caps w:val="false"/>
          <w:smallCaps w:val="false"/>
          <w:sz w:val="20"/>
        </w:rPr>
        <w:t xml:space="preserve">75. These costs were recorded as a reduction to the carrying value of the Convertible Promissory Notes and are amortized to interest expense over the one-year term using the effective interest method. The effective interest rate on the Convertible Note is </w:t>
      </w:r>
      <w:bookmarkStart w:id="241" w:name="xdx_903_eus-gaap--DebtInstrumentInterest"/>
      <w:bookmarkEnd w:id="241"/>
      <w:r>
        <w:rPr>
          <w:rFonts w:ascii="Times New Roman;Times;Serif" w:hAnsi="Times New Roman;Times;Serif"/>
          <w:b w:val="false"/>
          <w:i w:val="false"/>
          <w:caps w:val="false"/>
          <w:smallCaps w:val="false"/>
          <w:sz w:val="20"/>
        </w:rPr>
        <w:t>12.64%.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the Convertible Promissory Notes and accrued interest was $</w:t>
      </w:r>
      <w:bookmarkStart w:id="242" w:name="xdx_90A_ecustom--AccruedInterest_pn3n3_c"/>
      <w:bookmarkEnd w:id="242"/>
      <w:r>
        <w:rPr>
          <w:rFonts w:ascii="Times New Roman;Times;Serif" w:hAnsi="Times New Roman;Times;Serif"/>
          <w:b w:val="false"/>
          <w:i w:val="false"/>
          <w:caps w:val="false"/>
          <w:smallCaps w:val="false"/>
          <w:sz w:val="20"/>
        </w:rPr>
        <w:t>3,113 at December 31, 2025. The Company recognized approximately $</w:t>
      </w:r>
      <w:bookmarkStart w:id="243" w:name="xdx_904_eus-gaap--InterestExpense_pn3n3_"/>
      <w:bookmarkEnd w:id="243"/>
      <w:r>
        <w:rPr>
          <w:rFonts w:ascii="Times New Roman;Times;Serif" w:hAnsi="Times New Roman;Times;Serif"/>
          <w:b w:val="false"/>
          <w:i w:val="false"/>
          <w:caps w:val="false"/>
          <w:smallCaps w:val="false"/>
          <w:sz w:val="20"/>
        </w:rPr>
        <w:t>75 of interest expense for the three months ended March 31, 2026, which is included within interest expense in the condensed consolidated statements of operations and comprehensive income (loss). Interest expense attributable to the amortization of debt issuance costs incurred with third-party financing arrangements was $</w:t>
      </w:r>
      <w:bookmarkStart w:id="244" w:name="xdx_902_eus-gaap--AmortizationOfDebtDisc"/>
      <w:bookmarkEnd w:id="244"/>
      <w:r>
        <w:rPr>
          <w:rFonts w:ascii="Times New Roman;Times;Serif" w:hAnsi="Times New Roman;Times;Serif"/>
          <w:b w:val="false"/>
          <w:i w:val="false"/>
          <w:caps w:val="false"/>
          <w:smallCaps w:val="false"/>
          <w:sz w:val="20"/>
        </w:rPr>
        <w:t>19 and recorded to interest expense for the three months ended March 31, 2026. The balance of the Convertible Promissory Notes and accrued interest was $</w:t>
      </w:r>
      <w:bookmarkStart w:id="245" w:name="xdx_903_ecustom--AccruedInterest_pn3n3_c"/>
      <w:bookmarkEnd w:id="245"/>
      <w:r>
        <w:rPr>
          <w:rFonts w:ascii="Times New Roman;Times;Serif" w:hAnsi="Times New Roman;Times;Serif"/>
          <w:b w:val="false"/>
          <w:i w:val="false"/>
          <w:caps w:val="false"/>
          <w:smallCaps w:val="false"/>
          <w:sz w:val="20"/>
        </w:rPr>
        <w:t>3,227 at March 31, 2026.</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6" w:name="xdx_80D_eus-gaap--CommitmentsAndContinge"/>
      <w:bookmarkEnd w:id="246"/>
      <w:r>
        <w:rPr>
          <w:rFonts w:ascii="Times New Roman;Times;Serif" w:hAnsi="Times New Roman;Times;Serif"/>
          <w:b/>
          <w:i w:val="false"/>
          <w:caps w:val="false"/>
          <w:smallCaps w:val="false"/>
          <w:sz w:val="20"/>
        </w:rPr>
        <w:t xml:space="preserve">5. </w:t>
      </w:r>
      <w:bookmarkStart w:id="247" w:name="xdx_82C_zDRUEhYdCcFe"/>
      <w:bookmarkEnd w:id="247"/>
      <w:r>
        <w:rPr>
          <w:rFonts w:ascii="Times New Roman;Times;Serif" w:hAnsi="Times New Roman;Times;Serif"/>
          <w:b/>
          <w:i w:val="false"/>
          <w:caps w:val="false"/>
          <w:smallCaps w:val="false"/>
          <w:sz w:val="20"/>
        </w:rPr>
        <w:t>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Forbearance Agreements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w:t>
      </w:r>
      <w:bookmarkStart w:id="248" w:name="xdx_903_ecustom--ForbearanceAgreementDes"/>
      <w:bookmarkEnd w:id="248"/>
      <w:r>
        <w:rPr>
          <w:rFonts w:ascii="Times New Roman;Times;Serif" w:hAnsi="Times New Roman;Times;Serif"/>
          <w:b w:val="false"/>
          <w:i w:val="false"/>
          <w:caps w:val="false"/>
          <w:smallCaps w:val="false"/>
          <w:sz w:val="20"/>
        </w:rPr>
        <w:t>Company entered into forbearance agreements (the “Forbearance Agreement”) with two third-party creditors related to outstanding invoices totaling approximately $3,774 (the “Overdue Amount”). Pursuant to the Forbearance Agreement, 50% of the Overdue Amount (approximately $</w:t>
      </w:r>
      <w:bookmarkStart w:id="249" w:name="xdx_904_eus-gaap--ExtinguishmentOfDebtAm"/>
      <w:bookmarkEnd w:id="249"/>
      <w:r>
        <w:rPr>
          <w:rFonts w:ascii="Times New Roman;Times;Serif" w:hAnsi="Times New Roman;Times;Serif"/>
          <w:b w:val="false"/>
          <w:i w:val="false"/>
          <w:caps w:val="false"/>
          <w:smallCaps w:val="false"/>
          <w:sz w:val="20"/>
        </w:rPr>
        <w:t>1,887), remains due, and the remaining $1,887 becomes contingently payable based upon the completion of capital-raising transactions generating at least $45,000 and $55,000, respectively, in aggregate proceeds  . If the specified financing thresholds are not achieved, the corresponding contingent payments will not become due, and the related obligations will be permanently extinguished.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b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 </w:t>
      </w:r>
    </w:p>
    <w:p>
      <w:pPr>
        <w:pStyle w:val="TextBody"/>
        <w:bidi w:val="0"/>
        <w:spacing w:lineRule="auto" w:line="288" w:before="0" w:after="0"/>
        <w:ind w:left="0" w:right="0" w:hanging="0"/>
        <w:jc w:val="left"/>
        <w:rPr>
          <w:caps w:val="false"/>
          <w:smallCaps w:val="false"/>
        </w:rPr>
      </w:pPr>
      <w:bookmarkStart w:id="250" w:name="xdx_23D_zYTe8LfCubxb"/>
      <w:bookmarkEnd w:id="25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1" w:name="xdx_80E_ecustom--TemporaryEquityTextBloc"/>
      <w:bookmarkEnd w:id="251"/>
      <w:r>
        <w:rPr>
          <w:rFonts w:ascii="Times New Roman;Times;Serif" w:hAnsi="Times New Roman;Times;Serif"/>
          <w:b/>
          <w:i w:val="false"/>
          <w:caps w:val="false"/>
          <w:smallCaps w:val="false"/>
          <w:sz w:val="20"/>
        </w:rPr>
        <w:t xml:space="preserve">6. </w:t>
      </w:r>
      <w:bookmarkStart w:id="252" w:name="xdx_82F_zfb4bs5zFEfg"/>
      <w:bookmarkEnd w:id="252"/>
      <w:r>
        <w:rPr>
          <w:rFonts w:ascii="Times New Roman;Times;Serif" w:hAnsi="Times New Roman;Times;Serif"/>
          <w:b/>
          <w:i w:val="false"/>
          <w:caps w:val="false"/>
          <w:smallCaps w:val="false"/>
          <w:sz w:val="20"/>
        </w:rPr>
        <w:t>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authorized, issued, and outstanding Series A Convertible Preferred Stock and their principal were as follows:</w:t>
      </w:r>
    </w:p>
    <w:p>
      <w:pPr>
        <w:pStyle w:val="Normal"/>
        <w:bidi w:val="0"/>
        <w:spacing w:before="0" w:after="0"/>
        <w:jc w:val="left"/>
        <w:rPr>
          <w:sz w:val="4"/>
          <w:szCs w:val="4"/>
        </w:rPr>
      </w:pPr>
      <w:r>
        <w:rPr>
          <w:sz w:val="4"/>
          <w:szCs w:val="4"/>
        </w:rPr>
      </w:r>
      <w:bookmarkStart w:id="253" w:name="xdx_899_ecustom--ConvertiblePreferredSto"/>
      <w:bookmarkStart w:id="254" w:name="xdx_899_ecustom--ConvertiblePreferredSto"/>
      <w:bookmarkEnd w:id="254"/>
    </w:p>
    <w:tbl>
      <w:tblPr>
        <w:tblW w:w="10082" w:type="dxa"/>
        <w:jc w:val="left"/>
        <w:tblInd w:w="0" w:type="dxa"/>
        <w:tblLayout w:type="fixed"/>
        <w:tblCellMar>
          <w:top w:w="0" w:type="dxa"/>
          <w:left w:w="0" w:type="dxa"/>
          <w:bottom w:w="0" w:type="dxa"/>
          <w:right w:w="0" w:type="dxa"/>
        </w:tblCellMar>
      </w:tblPr>
      <w:tblGrid>
        <w:gridCol w:w="3845"/>
        <w:gridCol w:w="60"/>
        <w:gridCol w:w="69"/>
        <w:gridCol w:w="685"/>
        <w:gridCol w:w="60"/>
        <w:gridCol w:w="60"/>
        <w:gridCol w:w="76"/>
        <w:gridCol w:w="754"/>
        <w:gridCol w:w="60"/>
        <w:gridCol w:w="60"/>
        <w:gridCol w:w="112"/>
        <w:gridCol w:w="1122"/>
        <w:gridCol w:w="60"/>
        <w:gridCol w:w="60"/>
        <w:gridCol w:w="142"/>
        <w:gridCol w:w="553"/>
        <w:gridCol w:w="60"/>
        <w:gridCol w:w="60"/>
        <w:gridCol w:w="279"/>
        <w:gridCol w:w="581"/>
        <w:gridCol w:w="60"/>
        <w:gridCol w:w="60"/>
        <w:gridCol w:w="67"/>
        <w:gridCol w:w="1062"/>
        <w:gridCol w:w="75"/>
      </w:tblGrid>
      <w:tr>
        <w:trPr/>
        <w:tc>
          <w:tcPr>
            <w:tcW w:w="3845" w:type="dxa"/>
            <w:tcBorders/>
            <w:vAlign w:val="center"/>
          </w:tcPr>
          <w:p>
            <w:pPr>
              <w:pStyle w:val="TableContents"/>
              <w:bidi w:val="0"/>
              <w:spacing w:before="0" w:after="283"/>
              <w:jc w:val="center"/>
              <w:rPr/>
            </w:pPr>
            <w:bookmarkStart w:id="255" w:name="xdx_8BA_zWlnIy30bs58"/>
            <w:bookmarkEnd w:id="255"/>
            <w:r>
              <w:rPr/>
              <w:t> </w:t>
            </w:r>
            <w:r>
              <w:rPr/>
              <w:t>Summary of convertible preferred stock</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 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Series A Preferred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56" w:name="xdx_909_eus-gaap--PreferredStockParOrSta"/>
            <w:bookmarkEnd w:id="256"/>
            <w:r>
              <w:rPr>
                <w:sz w:val="20"/>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57" w:name="xdx_902_eus-gaap--PreferredStockSharesAu"/>
            <w:bookmarkEnd w:id="257"/>
            <w:r>
              <w:rPr>
                <w:sz w:val="20"/>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58" w:name="xdx_904_ecustom--PreferredStockIssuedAnd"/>
            <w:bookmarkEnd w:id="258"/>
            <w:r>
              <w:rPr>
                <w:sz w:val="20"/>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59" w:name="xdx_906_eus-gaap--PreferredStockValue_iI"/>
            <w:bookmarkEnd w:id="259"/>
            <w:r>
              <w:rPr>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60" w:name="xdx_90F_eus-gaap--PreferredStockLiquidat"/>
            <w:bookmarkEnd w:id="26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61" w:name="xdx_908_ecustom--CommonStockIssuableUpon"/>
            <w:bookmarkEnd w:id="261"/>
            <w:r>
              <w:rPr>
                <w:sz w:val="20"/>
              </w:rPr>
              <w:t>15,000,000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62" w:name="xdx_904_eus-gaap--PreferredStockSharesAu"/>
            <w:bookmarkEnd w:id="262"/>
            <w:r>
              <w:rPr>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63" w:name="xdx_907_ecustom--PreferredStockIssuedAnd"/>
            <w:bookmarkEnd w:id="263"/>
            <w:r>
              <w:rPr>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64" w:name="xdx_900_eus-gaap--PreferredStockValue_iI"/>
            <w:bookmarkEnd w:id="264"/>
            <w:r>
              <w:rPr>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65" w:name="xdx_906_eus-gaap--PreferredStockLiquidat"/>
            <w:bookmarkEnd w:id="26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66" w:name="xdx_90B_ecustom--CommonStockIssuableUpon"/>
            <w:bookmarkEnd w:id="266"/>
            <w:r>
              <w:rPr>
                <w:sz w:val="20"/>
              </w:rPr>
              <w:t>15,000,000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7" w:name="xdx_8AE_zsMbnxYVSHkc"/>
      <w:bookmarkEnd w:id="267"/>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A is convertible into </w:t>
      </w:r>
      <w:bookmarkStart w:id="268" w:name="xdx_90F_eus-gaap--ConversionOfStockShare"/>
      <w:bookmarkEnd w:id="268"/>
      <w:r>
        <w:rPr>
          <w:rFonts w:ascii="Times New Roman;Times;Serif" w:hAnsi="Times New Roman;Times;Serif"/>
          <w:b w:val="false"/>
          <w:i w:val="false"/>
          <w:caps w:val="false"/>
          <w:smallCaps w:val="false"/>
          <w:sz w:val="20"/>
        </w:rPr>
        <w:t>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authorized, issued, and outstanding Series C Convertible Preferred Stock and their principal were as follows:</w:t>
      </w:r>
    </w:p>
    <w:p>
      <w:pPr>
        <w:pStyle w:val="Normal"/>
        <w:bidi w:val="0"/>
        <w:spacing w:before="0" w:after="0"/>
        <w:jc w:val="left"/>
        <w:rPr>
          <w:sz w:val="4"/>
          <w:szCs w:val="4"/>
        </w:rPr>
      </w:pPr>
      <w:r>
        <w:rPr>
          <w:sz w:val="4"/>
          <w:szCs w:val="4"/>
        </w:rPr>
      </w:r>
      <w:bookmarkStart w:id="269" w:name="xdx_896_ecustom--ConvertiblePreferredSto"/>
      <w:bookmarkStart w:id="270" w:name="xdx_896_ecustom--ConvertiblePreferredSto"/>
      <w:bookmarkEnd w:id="270"/>
    </w:p>
    <w:tbl>
      <w:tblPr>
        <w:tblW w:w="10082" w:type="dxa"/>
        <w:jc w:val="left"/>
        <w:tblInd w:w="0" w:type="dxa"/>
        <w:tblLayout w:type="fixed"/>
        <w:tblCellMar>
          <w:top w:w="0" w:type="dxa"/>
          <w:left w:w="0" w:type="dxa"/>
          <w:bottom w:w="0" w:type="dxa"/>
          <w:right w:w="0" w:type="dxa"/>
        </w:tblCellMar>
      </w:tblPr>
      <w:tblGrid>
        <w:gridCol w:w="3845"/>
        <w:gridCol w:w="60"/>
        <w:gridCol w:w="69"/>
        <w:gridCol w:w="685"/>
        <w:gridCol w:w="60"/>
        <w:gridCol w:w="60"/>
        <w:gridCol w:w="76"/>
        <w:gridCol w:w="754"/>
        <w:gridCol w:w="60"/>
        <w:gridCol w:w="60"/>
        <w:gridCol w:w="112"/>
        <w:gridCol w:w="1122"/>
        <w:gridCol w:w="60"/>
        <w:gridCol w:w="60"/>
        <w:gridCol w:w="142"/>
        <w:gridCol w:w="553"/>
        <w:gridCol w:w="60"/>
        <w:gridCol w:w="60"/>
        <w:gridCol w:w="279"/>
        <w:gridCol w:w="581"/>
        <w:gridCol w:w="60"/>
        <w:gridCol w:w="60"/>
        <w:gridCol w:w="67"/>
        <w:gridCol w:w="1062"/>
        <w:gridCol w:w="75"/>
      </w:tblGrid>
      <w:tr>
        <w:trPr/>
        <w:tc>
          <w:tcPr>
            <w:tcW w:w="3845" w:type="dxa"/>
            <w:tcBorders/>
            <w:vAlign w:val="center"/>
          </w:tcPr>
          <w:p>
            <w:pPr>
              <w:pStyle w:val="TableContents"/>
              <w:bidi w:val="0"/>
              <w:spacing w:before="0" w:after="283"/>
              <w:jc w:val="left"/>
              <w:rPr/>
            </w:pPr>
            <w:bookmarkStart w:id="271" w:name="xdx_8B0_zMuXtRmO5Pf8"/>
            <w:bookmarkEnd w:id="271"/>
            <w:r>
              <w:rPr/>
              <w:t> </w:t>
            </w:r>
            <w:r>
              <w:rPr/>
              <w:t>Summary of convertible preferred stock</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 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Series C Preferred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72" w:name="xdx_90F_eus-gaap--PreferredStockParOrSta"/>
            <w:bookmarkEnd w:id="272"/>
            <w:r>
              <w:rPr>
                <w:sz w:val="20"/>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73" w:name="xdx_903_eus-gaap--PreferredStockSharesAu"/>
            <w:bookmarkEnd w:id="273"/>
            <w:r>
              <w:rPr>
                <w:sz w:val="20"/>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74" w:name="xdx_90D_ecustom--PreferredStockIssuedAnd"/>
            <w:bookmarkEnd w:id="274"/>
            <w:r>
              <w:rPr>
                <w:sz w:val="20"/>
              </w:rPr>
              <w:t>11,983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75" w:name="xdx_906_eus-gaap--PreferredStockValue_iI"/>
            <w:bookmarkEnd w:id="275"/>
            <w:r>
              <w:rPr>
                <w:sz w:val="20"/>
              </w:rPr>
              <w:t>4,429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76" w:name="xdx_909_eus-gaap--PreferredStockLiquidat"/>
            <w:bookmarkEnd w:id="27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277" w:name="xdx_905_ecustom--CommonStockIssuableUpon"/>
            <w:bookmarkEnd w:id="277"/>
            <w:r>
              <w:rPr>
                <w:sz w:val="20"/>
              </w:rPr>
              <w:t>11,983,000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78" w:name="xdx_903_eus-gaap--PreferredStockSharesAu"/>
            <w:bookmarkEnd w:id="278"/>
            <w:r>
              <w:rPr>
                <w:sz w:val="20"/>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79" w:name="xdx_90D_ecustom--PreferredStockIssuedAnd"/>
            <w:bookmarkEnd w:id="279"/>
            <w:r>
              <w:rPr>
                <w:sz w:val="20"/>
              </w:rPr>
              <w:t>11,983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80" w:name="xdx_906_eus-gaap--PreferredStockValue_iI"/>
            <w:bookmarkEnd w:id="280"/>
            <w:r>
              <w:rPr>
                <w:sz w:val="20"/>
              </w:rPr>
              <w:t>4,429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81" w:name="xdx_909_eus-gaap--PreferredStockLiquidat"/>
            <w:bookmarkEnd w:id="28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282" w:name="xdx_905_ecustom--CommonStockIssuableUpon"/>
            <w:bookmarkEnd w:id="282"/>
            <w:r>
              <w:rPr>
                <w:sz w:val="20"/>
              </w:rPr>
              <w:t>11,983,000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bookmarkStart w:id="283" w:name="xdx_8AF_zC9gvPW8coLb"/>
      <w:bookmarkEnd w:id="283"/>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Convertible Preferred Stock is convertible into </w:t>
      </w:r>
      <w:bookmarkStart w:id="284" w:name="xdx_909_eus-gaap--ConversionOfStockShare"/>
      <w:bookmarkEnd w:id="284"/>
      <w:r>
        <w:rPr>
          <w:rFonts w:ascii="Times New Roman;Times;Serif" w:hAnsi="Times New Roman;Times;Serif"/>
          <w:b w:val="false"/>
          <w:i w:val="false"/>
          <w:caps w:val="false"/>
          <w:smallCaps w:val="false"/>
          <w:sz w:val="20"/>
        </w:rPr>
        <w:t>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5" w:name="xdx_800_eus-gaap--StockholdersEquityNote"/>
      <w:bookmarkEnd w:id="285"/>
      <w:r>
        <w:rPr>
          <w:rFonts w:ascii="Times New Roman;Times;Serif" w:hAnsi="Times New Roman;Times;Serif"/>
          <w:b/>
          <w:i w:val="false"/>
          <w:caps w:val="false"/>
          <w:smallCaps w:val="false"/>
          <w:sz w:val="20"/>
        </w:rPr>
        <w:t xml:space="preserve">7. </w:t>
      </w:r>
      <w:bookmarkStart w:id="286" w:name="xdx_822_zSRcbj9B8OS"/>
      <w:bookmarkEnd w:id="286"/>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 Company had authorized </w:t>
      </w:r>
      <w:bookmarkStart w:id="287" w:name="xdx_901_eus-gaap--CommonStockSharesAutho"/>
      <w:bookmarkStart w:id="288" w:name="xdx_902_eus-gaap--CommonStockSharesAutho"/>
      <w:bookmarkEnd w:id="287"/>
      <w:bookmarkEnd w:id="288"/>
      <w:r>
        <w:rPr>
          <w:rFonts w:ascii="Times New Roman;Times;Serif" w:hAnsi="Times New Roman;Times;Serif"/>
          <w:b w:val="false"/>
          <w:i w:val="false"/>
          <w:caps w:val="false"/>
          <w:smallCaps w:val="false"/>
          <w:sz w:val="20"/>
        </w:rPr>
        <w:t>600,000,000 shares of $</w:t>
      </w:r>
      <w:bookmarkStart w:id="289" w:name="xdx_904_eus-gaap--CommonStockParOrStated"/>
      <w:bookmarkStart w:id="290" w:name="xdx_905_eus-gaap--CommonStockParOrStated"/>
      <w:bookmarkEnd w:id="289"/>
      <w:bookmarkEnd w:id="290"/>
      <w:r>
        <w:rPr>
          <w:rFonts w:ascii="Times New Roman;Times;Serif" w:hAnsi="Times New Roman;Times;Serif"/>
          <w:b w:val="false"/>
          <w:i w:val="false"/>
          <w:caps w:val="false"/>
          <w:smallCaps w:val="false"/>
          <w:sz w:val="20"/>
        </w:rPr>
        <w:t>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291" w:name="xdx_903_eus-gaap--ShareBasedCompensation"/>
      <w:bookmarkEnd w:id="291"/>
      <w:r>
        <w:rPr>
          <w:rFonts w:ascii="Times New Roman;Times;Serif" w:hAnsi="Times New Roman;Times;Serif"/>
          <w:b w:val="false"/>
          <w:i w:val="false"/>
          <w:caps w:val="false"/>
          <w:smallCaps w:val="false"/>
          <w:sz w:val="20"/>
        </w:rPr>
        <w:t>25,000 restricted stock units vested during the three months ended March 31, 2025, and the corresponding shares were issued upon vesting.</w:t>
      </w:r>
    </w:p>
    <w:p>
      <w:pPr>
        <w:pStyle w:val="TextBody"/>
        <w:bidi w:val="0"/>
        <w:spacing w:before="0" w:after="0"/>
        <w:ind w:left="0" w:right="0" w:firstLine="554"/>
        <w:jc w:val="left"/>
        <w:rPr>
          <w:caps w:val="false"/>
          <w:smallCaps w:val="false"/>
        </w:rPr>
      </w:pPr>
      <w:bookmarkStart w:id="292" w:name="xdx_231_zGsNQ72RQcb2"/>
      <w:bookmarkEnd w:id="292"/>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Unvested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firstLine="4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closing on March 28, 2024 of the business combination with Andretti Acquisition Corp. (“AAC”), </w:t>
      </w:r>
      <w:bookmarkStart w:id="293" w:name="xdx_902_eus-gaap--SharebasedCompensation"/>
      <w:bookmarkEnd w:id="293"/>
      <w:r>
        <w:rPr>
          <w:rFonts w:ascii="Times New Roman;Times;Serif" w:hAnsi="Times New Roman;Times;Serif"/>
          <w:b w:val="false"/>
          <w:i w:val="false"/>
          <w:caps w:val="false"/>
          <w:smallCaps w:val="false"/>
          <w:sz w:val="20"/>
        </w:rPr>
        <w:t xml:space="preserve">1,129,630 shares of Sponsor Shares became unvested and are subject to the forfeiture pursuant to the available cash provisions as described in the sponsor support agreement in contemplation of the Merger. All of the Unvested Shares will become vested if, within three </w:t>
      </w:r>
      <w:bookmarkStart w:id="294" w:name="xdx_90B_eus-gaap--SharebasedCompensation"/>
      <w:bookmarkEnd w:id="294"/>
      <w:r>
        <w:rPr>
          <w:rFonts w:ascii="Times New Roman;Times;Serif" w:hAnsi="Times New Roman;Times;Serif"/>
          <w:b w:val="false"/>
          <w:i w:val="false"/>
          <w:caps w:val="false"/>
          <w:smallCaps w:val="false"/>
          <w:sz w:val="20"/>
        </w:rPr>
        <w:t>3 years of the closing, the volume-weighted average price of the Company’s Common Stock equals or exceeds $</w:t>
      </w:r>
      <w:bookmarkStart w:id="295" w:name="xdx_903_eus-gaap--SharePrice_iI_pid_c202"/>
      <w:bookmarkEnd w:id="295"/>
      <w:r>
        <w:rPr>
          <w:rFonts w:ascii="Times New Roman;Times;Serif" w:hAnsi="Times New Roman;Times;Serif"/>
          <w:b w:val="false"/>
          <w:i w:val="false"/>
          <w:caps w:val="false"/>
          <w:smallCaps w:val="false"/>
          <w:sz w:val="20"/>
        </w:rPr>
        <w:t xml:space="preserve">12.00 per share (as adjusted for stock splits, stock dividends, reorganizations and recapitalizations) for any </w:t>
      </w:r>
      <w:bookmarkStart w:id="296" w:name="xdx_900_ecustom--AggregateNumberOfTradin"/>
      <w:bookmarkEnd w:id="296"/>
      <w:r>
        <w:rPr>
          <w:rFonts w:ascii="Times New Roman;Times;Serif" w:hAnsi="Times New Roman;Times;Serif"/>
          <w:b w:val="false"/>
          <w:i w:val="false"/>
          <w:caps w:val="false"/>
          <w:smallCaps w:val="false"/>
          <w:sz w:val="20"/>
        </w:rPr>
        <w:t xml:space="preserve">20 trading days within any </w:t>
      </w:r>
      <w:bookmarkStart w:id="297" w:name="xdx_907_ecustom--NumberOfConsecutiveTrad"/>
      <w:bookmarkEnd w:id="297"/>
      <w:r>
        <w:rPr>
          <w:rFonts w:ascii="Times New Roman;Times;Serif" w:hAnsi="Times New Roman;Times;Serif"/>
          <w:b w:val="false"/>
          <w:i w:val="false"/>
          <w:caps w:val="false"/>
          <w:smallCaps w:val="false"/>
          <w:sz w:val="20"/>
        </w:rPr>
        <w:t xml:space="preserve">30-trading day period, or if there is a change of control of the Company. If neither of these events occur within three </w:t>
      </w:r>
      <w:bookmarkStart w:id="298" w:name="xdx_902_eus-gaap--ShareBasedCompensation"/>
      <w:bookmarkEnd w:id="298"/>
      <w:r>
        <w:rPr>
          <w:rFonts w:ascii="Times New Roman;Times;Serif" w:hAnsi="Times New Roman;Times;Serif"/>
          <w:b w:val="false"/>
          <w:i w:val="false"/>
          <w:caps w:val="false"/>
          <w:smallCaps w:val="false"/>
          <w:sz w:val="20"/>
        </w:rPr>
        <w:t xml:space="preserve">3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w:t>
      </w:r>
      <w:bookmarkStart w:id="299" w:name="xdx_90C_eus-gaap--SharebasedCompensation"/>
      <w:bookmarkEnd w:id="299"/>
      <w:r>
        <w:rPr>
          <w:rFonts w:ascii="Times New Roman;Times;Serif" w:hAnsi="Times New Roman;Times;Serif"/>
          <w:b w:val="false"/>
          <w:i w:val="false"/>
          <w:caps w:val="false"/>
          <w:smallCaps w:val="false"/>
          <w:sz w:val="20"/>
        </w:rPr>
        <w:t>No Unvested Shares vested during the three months ended March 31, 2026 or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0" w:name="xdx_802_eus-gaap--ProductWarrantyDisclos"/>
      <w:bookmarkEnd w:id="300"/>
      <w:r>
        <w:rPr>
          <w:rFonts w:ascii="Times New Roman;Times;Serif" w:hAnsi="Times New Roman;Times;Serif"/>
          <w:b/>
          <w:i w:val="false"/>
          <w:caps w:val="false"/>
          <w:smallCaps w:val="false"/>
          <w:sz w:val="20"/>
        </w:rPr>
        <w:t xml:space="preserve">8. </w:t>
      </w:r>
      <w:bookmarkStart w:id="301" w:name="xdx_829_z49n5BMaAWli"/>
      <w:bookmarkEnd w:id="301"/>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 and Private Placement Warrants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Placement Warrants are exercisable to purchase one share of the Company’s Common Stock at $</w:t>
      </w:r>
      <w:bookmarkStart w:id="302" w:name="xdx_900_eus-gaap--ClassOfWarrantOrRightE"/>
      <w:bookmarkStart w:id="303" w:name="xdx_904_eus-gaap--ClassOfWarrantOrRightE"/>
      <w:bookmarkEnd w:id="302"/>
      <w:bookmarkEnd w:id="303"/>
      <w:r>
        <w:rPr>
          <w:rFonts w:ascii="Times New Roman;Times;Serif" w:hAnsi="Times New Roman;Times;Serif"/>
          <w:b w:val="false"/>
          <w:i w:val="false"/>
          <w:caps w:val="false"/>
          <w:smallCaps w:val="false"/>
          <w:sz w:val="20"/>
        </w:rPr>
        <w:t xml:space="preserve">11.50 per share. Public Warrants may be redeemed, in whole and not in part, at $0.01 per warrant with </w:t>
      </w:r>
      <w:bookmarkStart w:id="304" w:name="xdx_901_ecustom--ClassOfWarrantsOrRights"/>
      <w:bookmarkEnd w:id="304"/>
      <w:r>
        <w:rPr>
          <w:rFonts w:ascii="Times New Roman;Times;Serif" w:hAnsi="Times New Roman;Times;Serif"/>
          <w:b w:val="false"/>
          <w:i w:val="false"/>
          <w:caps w:val="false"/>
          <w:smallCaps w:val="false"/>
          <w:sz w:val="20"/>
        </w:rPr>
        <w:t>30 days’ notice if the Company’s Common Stock trades at or above $</w:t>
      </w:r>
      <w:bookmarkStart w:id="305" w:name="xdx_906_eus-gaap--SharePrice_iI_pid_c202"/>
      <w:bookmarkEnd w:id="305"/>
      <w:r>
        <w:rPr>
          <w:rFonts w:ascii="Times New Roman;Times;Serif" w:hAnsi="Times New Roman;Times;Serif"/>
          <w:b w:val="false"/>
          <w:i w:val="false"/>
          <w:caps w:val="false"/>
          <w:smallCaps w:val="false"/>
          <w:sz w:val="20"/>
        </w:rPr>
        <w:t xml:space="preserve">18.00 for </w:t>
      </w:r>
      <w:bookmarkStart w:id="306" w:name="xdx_90A_ecustom--AggregateNumberOfTradin"/>
      <w:bookmarkEnd w:id="306"/>
      <w:r>
        <w:rPr>
          <w:rFonts w:ascii="Times New Roman;Times;Serif" w:hAnsi="Times New Roman;Times;Serif"/>
          <w:b w:val="false"/>
          <w:i w:val="false"/>
          <w:caps w:val="false"/>
          <w:smallCaps w:val="false"/>
          <w:sz w:val="20"/>
        </w:rPr>
        <w:t xml:space="preserve">20 trading days out of </w:t>
      </w:r>
      <w:bookmarkStart w:id="307" w:name="xdx_90E_ecustom--NumberOfConsecutiveTrad"/>
      <w:bookmarkEnd w:id="307"/>
      <w:r>
        <w:rPr>
          <w:rFonts w:ascii="Times New Roman;Times;Serif" w:hAnsi="Times New Roman;Times;Serif"/>
          <w:b w:val="false"/>
          <w:i w:val="false"/>
          <w:caps w:val="false"/>
          <w:smallCaps w:val="false"/>
          <w:sz w:val="20"/>
        </w:rPr>
        <w:t>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there were </w:t>
      </w:r>
      <w:bookmarkStart w:id="308" w:name="xdx_900_eus-gaap--ClassOfWarrantOrRightO"/>
      <w:bookmarkEnd w:id="308"/>
      <w:r>
        <w:rPr>
          <w:rFonts w:ascii="Times New Roman;Times;Serif" w:hAnsi="Times New Roman;Times;Serif"/>
          <w:b w:val="false"/>
          <w:i w:val="false"/>
          <w:caps w:val="false"/>
          <w:smallCaps w:val="false"/>
          <w:sz w:val="20"/>
        </w:rPr>
        <w:t xml:space="preserve">11,499,982 and </w:t>
      </w:r>
      <w:bookmarkStart w:id="309" w:name="xdx_90D_eus-gaap--ClassOfWarrantOrRightO"/>
      <w:bookmarkEnd w:id="309"/>
      <w:r>
        <w:rPr>
          <w:rFonts w:ascii="Times New Roman;Times;Serif" w:hAnsi="Times New Roman;Times;Serif"/>
          <w:b w:val="false"/>
          <w:i w:val="false"/>
          <w:caps w:val="false"/>
          <w:smallCaps w:val="false"/>
          <w:sz w:val="20"/>
        </w:rPr>
        <w:t xml:space="preserve">11,499,982 Public Warrants outstanding, respectively. As of March 31, 2026 and December 31, 2025, there were </w:t>
      </w:r>
      <w:bookmarkStart w:id="310" w:name="xdx_908_eus-gaap--ClassOfWarrantOrRightO"/>
      <w:bookmarkEnd w:id="310"/>
      <w:r>
        <w:rPr>
          <w:rFonts w:ascii="Times New Roman;Times;Serif" w:hAnsi="Times New Roman;Times;Serif"/>
          <w:b w:val="false"/>
          <w:i w:val="false"/>
          <w:caps w:val="false"/>
          <w:smallCaps w:val="false"/>
          <w:sz w:val="20"/>
        </w:rPr>
        <w:t xml:space="preserve">55,800,000 and </w:t>
      </w:r>
      <w:bookmarkStart w:id="311" w:name="xdx_901_eus-gaap--ClassOfWarrantOrRightO"/>
      <w:bookmarkEnd w:id="311"/>
      <w:r>
        <w:rPr>
          <w:rFonts w:ascii="Times New Roman;Times;Serif" w:hAnsi="Times New Roman;Times;Serif"/>
          <w:b w:val="false"/>
          <w:i w:val="false"/>
          <w:caps w:val="false"/>
          <w:smallCaps w:val="false"/>
          <w:sz w:val="20"/>
        </w:rPr>
        <w:t xml:space="preserve">55,800,000 Private Placement Warrants outstanding, respectively. The Public Warrants and Private Placement Warrants qualify for equity classification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Warrants were initially measured at fair value and recorded within equity with no subsequent measures of changes in fair value.</w:t>
      </w:r>
    </w:p>
    <w:p>
      <w:pPr>
        <w:pStyle w:val="TextBody"/>
        <w:bidi w:val="0"/>
        <w:spacing w:before="0" w:after="0"/>
        <w:ind w:left="10" w:right="10" w:firstLine="508"/>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activity during the three months ended March 31, 2026 is as follows:</w:t>
      </w:r>
    </w:p>
    <w:p>
      <w:pPr>
        <w:pStyle w:val="Normal"/>
        <w:bidi w:val="0"/>
        <w:spacing w:before="0" w:after="0"/>
        <w:jc w:val="left"/>
        <w:rPr>
          <w:sz w:val="4"/>
          <w:szCs w:val="4"/>
        </w:rPr>
      </w:pPr>
      <w:r>
        <w:rPr>
          <w:sz w:val="4"/>
          <w:szCs w:val="4"/>
        </w:rPr>
      </w:r>
      <w:bookmarkStart w:id="312" w:name="xdx_886_ecustom--ScheduleOfWarrantyEffec"/>
      <w:bookmarkStart w:id="313" w:name="xdx_886_ecustom--ScheduleOfWarrantyEffec"/>
      <w:bookmarkEnd w:id="313"/>
    </w:p>
    <w:tbl>
      <w:tblPr>
        <w:tblW w:w="9578" w:type="dxa"/>
        <w:jc w:val="left"/>
        <w:tblInd w:w="0" w:type="dxa"/>
        <w:tblLayout w:type="fixed"/>
        <w:tblCellMar>
          <w:top w:w="0" w:type="dxa"/>
          <w:left w:w="0" w:type="dxa"/>
          <w:bottom w:w="0" w:type="dxa"/>
          <w:right w:w="0" w:type="dxa"/>
        </w:tblCellMar>
      </w:tblPr>
      <w:tblGrid>
        <w:gridCol w:w="4565"/>
        <w:gridCol w:w="60"/>
        <w:gridCol w:w="60"/>
        <w:gridCol w:w="950"/>
        <w:gridCol w:w="60"/>
        <w:gridCol w:w="60"/>
        <w:gridCol w:w="256"/>
        <w:gridCol w:w="783"/>
        <w:gridCol w:w="60"/>
        <w:gridCol w:w="60"/>
        <w:gridCol w:w="188"/>
        <w:gridCol w:w="1197"/>
        <w:gridCol w:w="60"/>
        <w:gridCol w:w="60"/>
        <w:gridCol w:w="189"/>
        <w:gridCol w:w="895"/>
        <w:gridCol w:w="75"/>
      </w:tblGrid>
      <w:tr>
        <w:trPr/>
        <w:tc>
          <w:tcPr>
            <w:tcW w:w="4565" w:type="dxa"/>
            <w:tcBorders/>
            <w:vAlign w:val="center"/>
          </w:tcPr>
          <w:p>
            <w:pPr>
              <w:pStyle w:val="TableContents"/>
              <w:bidi w:val="0"/>
              <w:spacing w:before="0" w:after="283"/>
              <w:jc w:val="left"/>
              <w:rPr/>
            </w:pPr>
            <w:bookmarkStart w:id="314" w:name="xdx_8BE_zpoqZrotRUB7"/>
            <w:bookmarkEnd w:id="314"/>
            <w:r>
              <w:rPr/>
              <w:t>Schedule of effect of the reverse recapitalization</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Aggregate</w:t>
              <w:br/>
              <w:t>Intrinsic Value</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315" w:name="xdx_905_eus-gaap--ShareBasedCompensation"/>
            <w:bookmarkEnd w:id="315"/>
            <w:r>
              <w:rPr>
                <w:sz w:val="20"/>
              </w:rPr>
              <w:t>67,299,982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sz w:val="20"/>
              </w:rPr>
            </w:pPr>
            <w:r>
              <w:rPr>
                <w:sz w:val="20"/>
              </w:rPr>
              <w:t>$</w:t>
            </w:r>
          </w:p>
        </w:tc>
        <w:tc>
          <w:tcPr>
            <w:tcW w:w="783" w:type="dxa"/>
            <w:tcBorders/>
            <w:shd w:fill="CCEEFF" w:val="clear"/>
            <w:vAlign w:val="center"/>
          </w:tcPr>
          <w:p>
            <w:pPr>
              <w:pStyle w:val="TableContents"/>
              <w:bidi w:val="0"/>
              <w:spacing w:before="0" w:after="283"/>
              <w:jc w:val="right"/>
              <w:rPr>
                <w:sz w:val="20"/>
              </w:rPr>
            </w:pPr>
            <w:bookmarkStart w:id="316" w:name="xdx_901_eus-gaap--ShareBasedCompensation"/>
            <w:bookmarkEnd w:id="316"/>
            <w:r>
              <w:rPr>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sz w:val="20"/>
              </w:rPr>
            </w:pPr>
            <w:bookmarkStart w:id="317" w:name="xdx_90A_eus-gaap--SharebasedCompensation"/>
            <w:bookmarkEnd w:id="317"/>
            <w:r>
              <w:rPr>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20"/>
              </w:rPr>
            </w:pPr>
            <w:r>
              <w:rPr>
                <w:sz w:val="20"/>
              </w:rPr>
              <w:t>$</w:t>
            </w:r>
          </w:p>
        </w:tc>
        <w:tc>
          <w:tcPr>
            <w:tcW w:w="895" w:type="dxa"/>
            <w:tcBorders/>
            <w:shd w:fill="CCEEFF" w:val="clear"/>
            <w:vAlign w:val="center"/>
          </w:tcPr>
          <w:p>
            <w:pPr>
              <w:pStyle w:val="TableContents"/>
              <w:bidi w:val="0"/>
              <w:spacing w:before="0" w:after="283"/>
              <w:jc w:val="right"/>
              <w:rPr>
                <w:sz w:val="20"/>
              </w:rPr>
            </w:pPr>
            <w:bookmarkStart w:id="318" w:name="xdx_906_eus-gaap--ShareBasedCompensation"/>
            <w:bookmarkEnd w:id="318"/>
            <w:r>
              <w:rPr>
                <w:sz w:val="20"/>
              </w:rPr>
              <w:t>65,096</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bookmarkStart w:id="319" w:name="xdx_906_eus-gaap--ShareBasedCompensation"/>
            <w:bookmarkEnd w:id="31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bookmarkStart w:id="320" w:name="xdx_90D_eus-gaap--ShareBasedCompensation"/>
            <w:bookmarkEnd w:id="32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bookmarkStart w:id="321" w:name="xdx_905_eus-gaap--StockIssuedDuringPerio"/>
            <w:bookmarkEnd w:id="32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bookmarkStart w:id="322" w:name="xdx_903_eus-gaap--ShareBasedCompensation"/>
            <w:bookmarkEnd w:id="322"/>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23" w:name="xdx_909_eus-gaap--ShareBasedCompensation"/>
            <w:bookmarkEnd w:id="32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24" w:name="xdx_909_eus-gaap--ShareBasedCompensation"/>
            <w:bookmarkEnd w:id="32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25" w:name="xdx_907_eus-gaap--ShareBasedCompensation"/>
            <w:bookmarkEnd w:id="325"/>
            <w:r>
              <w:rPr>
                <w:sz w:val="20"/>
              </w:rPr>
              <w:t>67,299,982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26" w:name="xdx_905_eus-gaap--ShareBasedCompensation"/>
            <w:bookmarkEnd w:id="326"/>
            <w:r>
              <w:rPr>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27" w:name="xdx_903_eus-gaap--SharebasedCompensation"/>
            <w:bookmarkEnd w:id="327"/>
            <w:r>
              <w:rPr>
                <w:sz w:val="20"/>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28" w:name="xdx_90F_eus-gaap--ShareBasedCompensation"/>
            <w:bookmarkEnd w:id="328"/>
            <w:r>
              <w:rPr>
                <w:sz w:val="20"/>
              </w:rPr>
              <w:t>17,745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Warrants vested and 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29" w:name="xdx_908_eus-gaap--ShareBasedCompensation"/>
            <w:bookmarkEnd w:id="329"/>
            <w:r>
              <w:rPr>
                <w:sz w:val="20"/>
              </w:rPr>
              <w:t>66,399,982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30" w:name="xdx_900_eus-gaap--ShareBasedCompensation"/>
            <w:bookmarkEnd w:id="330"/>
            <w:r>
              <w:rPr>
                <w:sz w:val="20"/>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31" w:name="xdx_908_eus-gaap--SharebasedCompensation"/>
            <w:bookmarkEnd w:id="331"/>
            <w:r>
              <w:rPr>
                <w:sz w:val="20"/>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32" w:name="xdx_903_eus-gaap--ShareBasedCompensation"/>
            <w:bookmarkEnd w:id="332"/>
            <w:r>
              <w:rPr>
                <w:sz w:val="20"/>
              </w:rPr>
              <w:t>17,367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w:t>
      </w:r>
      <w:bookmarkStart w:id="333" w:name="xdx_903_eus-gaap--ShareBasedCompensation"/>
      <w:bookmarkEnd w:id="333"/>
      <w:r>
        <w:rPr>
          <w:rFonts w:ascii="Times New Roman;Times;Serif" w:hAnsi="Times New Roman;Times;Serif"/>
          <w:b w:val="false"/>
          <w:i w:val="false"/>
          <w:caps w:val="false"/>
          <w:smallCaps w:val="false"/>
          <w:sz w:val="20"/>
        </w:rPr>
        <w:t>0.42 per share on March 31, 2026, the intrinsic value attributed to exercisable and unexercised Common Stock warrants was $</w:t>
      </w:r>
      <w:bookmarkStart w:id="334" w:name="xdx_90E_eus-gaap--SharebasedCompensation"/>
      <w:bookmarkEnd w:id="334"/>
      <w:r>
        <w:rPr>
          <w:rFonts w:ascii="Times New Roman;Times;Serif" w:hAnsi="Times New Roman;Times;Serif"/>
          <w:b w:val="false"/>
          <w:i w:val="false"/>
          <w:caps w:val="false"/>
          <w:smallCaps w:val="false"/>
          <w:sz w:val="20"/>
        </w:rPr>
        <w:t>17,367 at March 31, 2026.</w:t>
      </w:r>
    </w:p>
    <w:p>
      <w:pPr>
        <w:pStyle w:val="TextBody"/>
        <w:bidi w:val="0"/>
        <w:spacing w:before="0" w:after="0"/>
        <w:ind w:left="0" w:right="0" w:firstLine="554"/>
        <w:jc w:val="left"/>
        <w:rPr>
          <w:caps w:val="false"/>
          <w:smallCaps w:val="false"/>
          <w:spacing w:val="-1"/>
        </w:rPr>
      </w:pPr>
      <w:r>
        <w:rPr>
          <w:caps w:val="false"/>
          <w:smallCaps w:val="false"/>
          <w:spacing w:val="-1"/>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As of March 31, 2026, there was </w:t>
      </w:r>
      <w:bookmarkStart w:id="335" w:name="xdx_908_ecustom--UnrecognizedCompensatio"/>
      <w:bookmarkEnd w:id="335"/>
      <w:r>
        <w:rPr>
          <w:rFonts w:ascii="Times New Roman;Times;Serif" w:hAnsi="Times New Roman;Times;Serif"/>
          <w:b w:val="false"/>
          <w:i w:val="false"/>
          <w:caps w:val="false"/>
          <w:smallCaps w:val="false"/>
          <w:spacing w:val="-1"/>
          <w:sz w:val="20"/>
        </w:rPr>
        <w:t>no unrecognized compensation cost related</w:t>
      </w:r>
      <w:r>
        <w:rPr>
          <w:rFonts w:ascii="Times New Roman;Times;Serif" w:hAnsi="Times New Roman;Times;Serif"/>
          <w:b w:val="false"/>
          <w:i w:val="false"/>
          <w:caps w:val="false"/>
          <w:smallCaps w:val="false"/>
          <w:sz w:val="20"/>
        </w:rPr>
        <w:t xml:space="preserve"> to unvested warrants.</w:t>
      </w:r>
    </w:p>
    <w:p>
      <w:pPr>
        <w:pStyle w:val="TextBody"/>
        <w:bidi w:val="0"/>
        <w:spacing w:before="0" w:after="0"/>
        <w:ind w:left="0" w:right="0" w:firstLine="554"/>
        <w:jc w:val="left"/>
        <w:rPr>
          <w:caps w:val="false"/>
          <w:smallCaps w:val="false"/>
        </w:rPr>
      </w:pPr>
      <w:bookmarkStart w:id="336" w:name="xdx_23D_zX2MXpqDSgZb"/>
      <w:bookmarkEnd w:id="336"/>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7" w:name="xdx_809_eus-gaap--DisclosureOfCompensati"/>
      <w:bookmarkEnd w:id="337"/>
      <w:r>
        <w:rPr>
          <w:rFonts w:ascii="Times New Roman;Times;Serif" w:hAnsi="Times New Roman;Times;Serif"/>
          <w:b/>
          <w:i w:val="false"/>
          <w:caps w:val="false"/>
          <w:smallCaps w:val="false"/>
          <w:sz w:val="20"/>
        </w:rPr>
        <w:t xml:space="preserve">9. </w:t>
      </w:r>
      <w:bookmarkStart w:id="338" w:name="xdx_826_z342t91hyvbl"/>
      <w:bookmarkEnd w:id="338"/>
      <w:r>
        <w:rPr>
          <w:rFonts w:ascii="Times New Roman;Times;Serif" w:hAnsi="Times New Roman;Times;Serif"/>
          <w:b/>
          <w:i w:val="false"/>
          <w:caps w:val="false"/>
          <w:smallCaps w:val="false"/>
          <w:sz w:val="20"/>
        </w:rPr>
        <w:t>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during the three months ended March 31, 2026 is as follows:</w:t>
      </w:r>
    </w:p>
    <w:p>
      <w:pPr>
        <w:pStyle w:val="Normal"/>
        <w:bidi w:val="0"/>
        <w:spacing w:before="0" w:after="0"/>
        <w:jc w:val="left"/>
        <w:rPr>
          <w:sz w:val="4"/>
          <w:szCs w:val="4"/>
        </w:rPr>
      </w:pPr>
      <w:r>
        <w:rPr>
          <w:sz w:val="4"/>
          <w:szCs w:val="4"/>
        </w:rPr>
      </w:r>
      <w:bookmarkStart w:id="339" w:name="xdx_893_eus-gaap--ScheduleOfShareBasedPa"/>
      <w:bookmarkStart w:id="340" w:name="xdx_893_eus-gaap--ScheduleOfShareBasedPa"/>
      <w:bookmarkEnd w:id="340"/>
    </w:p>
    <w:tbl>
      <w:tblPr>
        <w:tblW w:w="10205" w:type="dxa"/>
        <w:jc w:val="left"/>
        <w:tblInd w:w="0" w:type="dxa"/>
        <w:tblLayout w:type="fixed"/>
        <w:tblCellMar>
          <w:top w:w="0" w:type="dxa"/>
          <w:left w:w="0" w:type="dxa"/>
          <w:bottom w:w="0" w:type="dxa"/>
          <w:right w:w="0" w:type="dxa"/>
        </w:tblCellMar>
      </w:tblPr>
      <w:tblGrid>
        <w:gridCol w:w="5520"/>
        <w:gridCol w:w="60"/>
        <w:gridCol w:w="60"/>
        <w:gridCol w:w="950"/>
        <w:gridCol w:w="60"/>
        <w:gridCol w:w="60"/>
        <w:gridCol w:w="217"/>
        <w:gridCol w:w="665"/>
        <w:gridCol w:w="60"/>
        <w:gridCol w:w="60"/>
        <w:gridCol w:w="188"/>
        <w:gridCol w:w="1197"/>
        <w:gridCol w:w="60"/>
        <w:gridCol w:w="60"/>
        <w:gridCol w:w="158"/>
        <w:gridCol w:w="752"/>
        <w:gridCol w:w="78"/>
      </w:tblGrid>
      <w:tr>
        <w:trPr/>
        <w:tc>
          <w:tcPr>
            <w:tcW w:w="5520" w:type="dxa"/>
            <w:tcBorders/>
            <w:vAlign w:val="center"/>
          </w:tcPr>
          <w:p>
            <w:pPr>
              <w:pStyle w:val="TableContents"/>
              <w:bidi w:val="0"/>
              <w:spacing w:before="0" w:after="283"/>
              <w:jc w:val="left"/>
              <w:rPr/>
            </w:pPr>
            <w:bookmarkStart w:id="341" w:name="xdx_8B8_z8DIizvZmJpd"/>
            <w:bookmarkEnd w:id="341"/>
            <w:r>
              <w:rPr/>
              <w:t> </w:t>
            </w:r>
            <w:r>
              <w:rPr/>
              <w:t>Summary of assumptions used in Black-Scholes option-pricing model to determine fair value of stock options granted</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5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Aggregate</w:t>
              <w:br/>
              <w:t>Intrinsic Value</w:t>
            </w:r>
          </w:p>
        </w:tc>
        <w:tc>
          <w:tcPr>
            <w:tcW w:w="78" w:type="dxa"/>
            <w:tcBorders/>
            <w:vAlign w:val="center"/>
          </w:tcPr>
          <w:p>
            <w:pPr>
              <w:pStyle w:val="TableContents"/>
              <w:bidi w:val="0"/>
              <w:spacing w:before="0" w:after="283"/>
              <w:jc w:val="left"/>
              <w:rPr/>
            </w:pPr>
            <w:r>
              <w:rPr/>
              <w:t> </w:t>
            </w:r>
          </w:p>
        </w:tc>
      </w:tr>
      <w:tr>
        <w:trPr/>
        <w:tc>
          <w:tcPr>
            <w:tcW w:w="5520" w:type="dxa"/>
            <w:tcBorders/>
            <w:shd w:fill="CCEEFF" w:val="clear"/>
            <w:vAlign w:val="center"/>
          </w:tcPr>
          <w:p>
            <w:pPr>
              <w:pStyle w:val="TableContents"/>
              <w:bidi w:val="0"/>
              <w:spacing w:before="0" w:after="283"/>
              <w:jc w:val="left"/>
              <w:rPr>
                <w:sz w:val="20"/>
              </w:rPr>
            </w:pPr>
            <w:r>
              <w:rPr>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342" w:name="xdx_907_eus-gaap--ShareBasedCompensation"/>
            <w:bookmarkEnd w:id="342"/>
            <w:r>
              <w:rPr>
                <w:sz w:val="20"/>
              </w:rPr>
              <w:t>39,003,451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20"/>
              </w:rPr>
            </w:pPr>
            <w:r>
              <w:rPr>
                <w:sz w:val="20"/>
              </w:rPr>
              <w:t>$</w:t>
            </w:r>
          </w:p>
        </w:tc>
        <w:tc>
          <w:tcPr>
            <w:tcW w:w="665" w:type="dxa"/>
            <w:tcBorders/>
            <w:shd w:fill="CCEEFF" w:val="clear"/>
            <w:vAlign w:val="center"/>
          </w:tcPr>
          <w:p>
            <w:pPr>
              <w:pStyle w:val="TableContents"/>
              <w:bidi w:val="0"/>
              <w:spacing w:before="0" w:after="283"/>
              <w:jc w:val="right"/>
              <w:rPr>
                <w:sz w:val="20"/>
              </w:rPr>
            </w:pPr>
            <w:bookmarkStart w:id="343" w:name="xdx_908_eus-gaap--ShareBasedCompensation"/>
            <w:bookmarkEnd w:id="343"/>
            <w:r>
              <w:rPr>
                <w:sz w:val="20"/>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sz w:val="20"/>
              </w:rPr>
            </w:pPr>
            <w:bookmarkStart w:id="344" w:name="xdx_906_eus-gaap--SharebasedCompensation"/>
            <w:bookmarkEnd w:id="344"/>
            <w:r>
              <w:rPr>
                <w:sz w:val="20"/>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20"/>
              </w:rPr>
            </w:pPr>
            <w:r>
              <w:rPr>
                <w:sz w:val="20"/>
              </w:rPr>
              <w:t>$</w:t>
            </w:r>
          </w:p>
        </w:tc>
        <w:tc>
          <w:tcPr>
            <w:tcW w:w="752" w:type="dxa"/>
            <w:tcBorders/>
            <w:shd w:fill="CCEEFF" w:val="clear"/>
            <w:vAlign w:val="center"/>
          </w:tcPr>
          <w:p>
            <w:pPr>
              <w:pStyle w:val="TableContents"/>
              <w:bidi w:val="0"/>
              <w:spacing w:before="0" w:after="283"/>
              <w:jc w:val="right"/>
              <w:rPr>
                <w:sz w:val="20"/>
              </w:rPr>
            </w:pPr>
            <w:bookmarkStart w:id="345" w:name="xdx_90A_eus-gaap--ShareBasedCompensation"/>
            <w:bookmarkEnd w:id="345"/>
            <w:r>
              <w:rPr>
                <w:sz w:val="20"/>
              </w:rPr>
              <w:t>58,598</w:t>
            </w:r>
          </w:p>
        </w:tc>
        <w:tc>
          <w:tcPr>
            <w:tcW w:w="78" w:type="dxa"/>
            <w:tcBorders/>
            <w:shd w:fill="CCEEFF" w:val="clear"/>
            <w:vAlign w:val="center"/>
          </w:tcPr>
          <w:p>
            <w:pPr>
              <w:pStyle w:val="TableContents"/>
              <w:bidi w:val="0"/>
              <w:spacing w:before="0" w:after="283"/>
              <w:jc w:val="left"/>
              <w:rPr/>
            </w:pPr>
            <w:r>
              <w:rPr/>
              <w:t> </w:t>
            </w:r>
          </w:p>
        </w:tc>
      </w:tr>
      <w:tr>
        <w:trPr/>
        <w:tc>
          <w:tcPr>
            <w:tcW w:w="5520"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bookmarkStart w:id="346" w:name="xdx_904_eus-gaap--ShareBasedCompensation"/>
            <w:bookmarkEnd w:id="346"/>
            <w:r>
              <w:rPr>
                <w:sz w:val="20"/>
              </w:rPr>
              <w:t>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20"/>
              </w:rPr>
            </w:pPr>
            <w:bookmarkStart w:id="347" w:name="xdx_902_eus-gaap--ShareBasedCompensation"/>
            <w:bookmarkEnd w:id="347"/>
            <w:r>
              <w:rPr>
                <w:sz w:val="20"/>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520" w:type="dxa"/>
            <w:tcBorders/>
            <w:shd w:fill="CCEEFF" w:val="clear"/>
            <w:vAlign w:val="center"/>
          </w:tcPr>
          <w:p>
            <w:pPr>
              <w:pStyle w:val="TableContents"/>
              <w:bidi w:val="0"/>
              <w:spacing w:before="0" w:after="283"/>
              <w:jc w:val="left"/>
              <w:rPr>
                <w:sz w:val="20"/>
              </w:rPr>
            </w:pPr>
            <w:r>
              <w:rPr>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bookmarkStart w:id="348" w:name="xdx_908_eus-gaap--StockIssuedDuringPerio"/>
            <w:bookmarkEnd w:id="34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bookmarkStart w:id="349" w:name="xdx_90C_eus-gaap--ShareBasedCompensation"/>
            <w:bookmarkEnd w:id="349"/>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520" w:type="dxa"/>
            <w:tcBorders/>
            <w:shd w:fill="FFFFFF" w:val="clear"/>
            <w:vAlign w:val="center"/>
          </w:tcPr>
          <w:p>
            <w:pPr>
              <w:pStyle w:val="TableContents"/>
              <w:bidi w:val="0"/>
              <w:spacing w:before="0" w:after="283"/>
              <w:jc w:val="left"/>
              <w:rPr>
                <w:sz w:val="20"/>
              </w:rPr>
            </w:pPr>
            <w:r>
              <w:rPr>
                <w:sz w:val="20"/>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50" w:name="xdx_90D_eus-gaap--ShareBasedCompensation"/>
            <w:bookmarkEnd w:id="35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51" w:name="xdx_90F_eus-gaap--ShareBasedCompensation"/>
            <w:bookmarkEnd w:id="35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520" w:type="dxa"/>
            <w:tcBorders/>
            <w:shd w:fill="CCEEFF" w:val="clear"/>
            <w:vAlign w:val="center"/>
          </w:tcPr>
          <w:p>
            <w:pPr>
              <w:pStyle w:val="TableContents"/>
              <w:bidi w:val="0"/>
              <w:spacing w:before="0" w:after="283"/>
              <w:jc w:val="left"/>
              <w:rPr>
                <w:sz w:val="20"/>
              </w:rPr>
            </w:pPr>
            <w:r>
              <w:rPr>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52" w:name="xdx_901_eus-gaap--ShareBasedCompensation"/>
            <w:bookmarkEnd w:id="352"/>
            <w:r>
              <w:rPr>
                <w:sz w:val="20"/>
              </w:rPr>
              <w:t>39,653,451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53" w:name="xdx_90D_eus-gaap--ShareBasedCompensation"/>
            <w:bookmarkEnd w:id="353"/>
            <w:r>
              <w:rPr>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54" w:name="xdx_902_eus-gaap--SharebasedCompensation"/>
            <w:bookmarkEnd w:id="354"/>
            <w:r>
              <w:rPr>
                <w:sz w:val="20"/>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355" w:name="xdx_90E_eus-gaap--ShareBasedCompensation"/>
            <w:bookmarkEnd w:id="355"/>
            <w:r>
              <w:rPr>
                <w:sz w:val="20"/>
              </w:rPr>
              <w:t>13,031</w:t>
            </w:r>
          </w:p>
        </w:tc>
        <w:tc>
          <w:tcPr>
            <w:tcW w:w="78" w:type="dxa"/>
            <w:tcBorders/>
            <w:shd w:fill="CCEEFF" w:val="clear"/>
            <w:vAlign w:val="center"/>
          </w:tcPr>
          <w:p>
            <w:pPr>
              <w:pStyle w:val="TableContents"/>
              <w:bidi w:val="0"/>
              <w:spacing w:before="0" w:after="283"/>
              <w:jc w:val="left"/>
              <w:rPr/>
            </w:pPr>
            <w:r>
              <w:rPr/>
              <w:t> </w:t>
            </w:r>
          </w:p>
        </w:tc>
      </w:tr>
      <w:tr>
        <w:trPr/>
        <w:tc>
          <w:tcPr>
            <w:tcW w:w="5520" w:type="dxa"/>
            <w:tcBorders/>
            <w:shd w:fill="FFFFFF" w:val="clear"/>
            <w:vAlign w:val="center"/>
          </w:tcPr>
          <w:p>
            <w:pPr>
              <w:pStyle w:val="TableContents"/>
              <w:bidi w:val="0"/>
              <w:spacing w:before="0" w:after="283"/>
              <w:jc w:val="left"/>
              <w:rPr>
                <w:sz w:val="20"/>
              </w:rPr>
            </w:pPr>
            <w:r>
              <w:rPr>
                <w:sz w:val="20"/>
              </w:rPr>
              <w:t>Options vested and 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56" w:name="xdx_90E_eus-gaap--ShareBasedCompensation"/>
            <w:bookmarkEnd w:id="356"/>
            <w:r>
              <w:rPr>
                <w:sz w:val="20"/>
              </w:rPr>
              <w:t>2,176,432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57" w:name="xdx_902_eus-gaap--ShareBasedCompensation"/>
            <w:bookmarkEnd w:id="357"/>
            <w:r>
              <w:rPr>
                <w:sz w:val="20"/>
              </w:rPr>
              <w:t>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58" w:name="xdx_900_eus-gaap--SharebasedCompensation"/>
            <w:bookmarkEnd w:id="358"/>
            <w:r>
              <w:rPr>
                <w:sz w:val="20"/>
              </w:rPr>
              <w:t>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59" w:name="xdx_90F_eus-gaap--ShareBasedCompensation"/>
            <w:bookmarkEnd w:id="359"/>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lineRule="auto" w:line="276" w:before="0" w:after="0"/>
        <w:ind w:left="0" w:right="0" w:firstLine="508"/>
        <w:jc w:val="left"/>
        <w:rPr>
          <w:caps w:val="false"/>
          <w:smallCaps w:val="false"/>
        </w:rPr>
      </w:pPr>
      <w:bookmarkStart w:id="360" w:name="xdx_8A4_zSHjrhfdTXuk"/>
      <w:bookmarkEnd w:id="360"/>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granted options exercisable into </w:t>
      </w:r>
      <w:bookmarkStart w:id="361" w:name="xdx_90E_eus-gaap--StockIssuedDuringPerio"/>
      <w:bookmarkEnd w:id="361"/>
      <w:r>
        <w:rPr>
          <w:rFonts w:ascii="Times New Roman;Times;Serif" w:hAnsi="Times New Roman;Times;Serif"/>
          <w:b w:val="false"/>
          <w:i w:val="false"/>
          <w:caps w:val="false"/>
          <w:smallCaps w:val="false"/>
          <w:sz w:val="20"/>
        </w:rPr>
        <w:t xml:space="preserve">650,000 shares of its Common Stock to its advisors. The stock options vest over a weighted average </w:t>
      </w:r>
      <w:bookmarkStart w:id="362" w:name="xdx_90E_eus-gaap--ShareBasedCompensation"/>
      <w:bookmarkEnd w:id="362"/>
      <w:r>
        <w:rPr>
          <w:rFonts w:ascii="Times New Roman;Times;Serif" w:hAnsi="Times New Roman;Times;Serif"/>
          <w:b w:val="false"/>
          <w:i w:val="false"/>
          <w:caps w:val="false"/>
          <w:smallCaps w:val="false"/>
          <w:sz w:val="20"/>
        </w:rPr>
        <w:t>2.83 year period and are exercisable at a weighted average price of $</w:t>
      </w:r>
      <w:bookmarkStart w:id="363" w:name="xdx_908_eus-gaap--ShareBasedCompensation"/>
      <w:bookmarkEnd w:id="363"/>
      <w:r>
        <w:rPr>
          <w:rFonts w:ascii="Times New Roman;Times;Serif" w:hAnsi="Times New Roman;Times;Serif"/>
          <w:b w:val="false"/>
          <w:i w:val="false"/>
          <w:caps w:val="false"/>
          <w:smallCaps w:val="false"/>
          <w:sz w:val="20"/>
        </w:rPr>
        <w:t xml:space="preserve">0.97 per share with an average life expiration of ten </w:t>
      </w:r>
      <w:bookmarkStart w:id="364" w:name="xdx_904_eus-gaap--SharebasedCompensation"/>
      <w:bookmarkEnd w:id="364"/>
      <w:r>
        <w:rPr>
          <w:rFonts w:ascii="Times New Roman;Times;Serif" w:hAnsi="Times New Roman;Times;Serif"/>
          <w:b w:val="false"/>
          <w:i w:val="false"/>
          <w:caps w:val="false"/>
          <w:smallCaps w:val="false"/>
          <w:sz w:val="20"/>
        </w:rPr>
        <w:t>10 years. The total fair value of these options at the grant date was approximately $</w:t>
      </w:r>
      <w:bookmarkStart w:id="365" w:name="xdx_909_ecustom--FairValueOfStockGrant_p"/>
      <w:bookmarkEnd w:id="365"/>
      <w:r>
        <w:rPr>
          <w:rFonts w:ascii="Times New Roman;Times;Serif" w:hAnsi="Times New Roman;Times;Serif"/>
          <w:b w:val="false"/>
          <w:i w:val="false"/>
          <w:caps w:val="false"/>
          <w:smallCaps w:val="false"/>
          <w:sz w:val="20"/>
        </w:rPr>
        <w:t>577,000, which was determined using a Black-Scholes option pricing model with the following average assumption: stock price of $</w:t>
      </w:r>
      <w:bookmarkStart w:id="366" w:name="xdx_905_eus-gaap--SharePrice_iI_pid_c202"/>
      <w:bookmarkEnd w:id="366"/>
      <w:r>
        <w:rPr>
          <w:rFonts w:ascii="Times New Roman;Times;Serif" w:hAnsi="Times New Roman;Times;Serif"/>
          <w:b w:val="false"/>
          <w:i w:val="false"/>
          <w:caps w:val="false"/>
          <w:smallCaps w:val="false"/>
          <w:sz w:val="20"/>
        </w:rPr>
        <w:t xml:space="preserve">0.92 per share, expected term of </w:t>
      </w:r>
      <w:bookmarkStart w:id="367" w:name="xdx_903_eus-gaap--SharebasedCompensation"/>
      <w:bookmarkEnd w:id="367"/>
      <w:r>
        <w:rPr>
          <w:rFonts w:ascii="Times New Roman;Times;Serif" w:hAnsi="Times New Roman;Times;Serif"/>
          <w:b w:val="false"/>
          <w:i w:val="false"/>
          <w:caps w:val="false"/>
          <w:smallCaps w:val="false"/>
          <w:sz w:val="20"/>
        </w:rPr>
        <w:t xml:space="preserve">6.00 years, volatility of </w:t>
      </w:r>
      <w:bookmarkStart w:id="368" w:name="xdx_90E_eus-gaap--ShareBasedCompensation"/>
      <w:bookmarkEnd w:id="368"/>
      <w:r>
        <w:rPr>
          <w:rFonts w:ascii="Times New Roman;Times;Serif" w:hAnsi="Times New Roman;Times;Serif"/>
          <w:b w:val="false"/>
          <w:i w:val="false"/>
          <w:caps w:val="false"/>
          <w:smallCaps w:val="false"/>
          <w:sz w:val="20"/>
        </w:rPr>
        <w:t xml:space="preserve">150%, dividend rate of </w:t>
      </w:r>
      <w:bookmarkStart w:id="369" w:name="xdx_905_eus-gaap--ShareBasedCompensation"/>
      <w:bookmarkEnd w:id="369"/>
      <w:r>
        <w:rPr>
          <w:rFonts w:ascii="Times New Roman;Times;Serif" w:hAnsi="Times New Roman;Times;Serif"/>
          <w:b w:val="false"/>
          <w:i w:val="false"/>
          <w:caps w:val="false"/>
          <w:smallCaps w:val="false"/>
          <w:sz w:val="20"/>
        </w:rPr>
        <w:t xml:space="preserve">0%, and weighted average risk-free interest rate of </w:t>
      </w:r>
      <w:bookmarkStart w:id="370" w:name="xdx_904_eus-gaap--ShareBasedCompensation"/>
      <w:bookmarkEnd w:id="370"/>
      <w:r>
        <w:rPr>
          <w:rFonts w:ascii="Times New Roman;Times;Serif" w:hAnsi="Times New Roman;Times;Serif"/>
          <w:b w:val="false"/>
          <w:i w:val="false"/>
          <w:caps w:val="false"/>
          <w:smallCaps w:val="false"/>
          <w:sz w:val="20"/>
        </w:rPr>
        <w:t>3.74%.</w:t>
      </w:r>
    </w:p>
    <w:p>
      <w:pPr>
        <w:pStyle w:val="TextBody"/>
        <w:bidi w:val="0"/>
        <w:spacing w:before="0" w:after="0"/>
        <w:ind w:left="0" w:right="0" w:firstLine="360"/>
        <w:jc w:val="left"/>
        <w:rPr>
          <w:caps w:val="false"/>
          <w:smallCaps w:val="false"/>
          <w:spacing w:val="-1"/>
        </w:rPr>
      </w:pPr>
      <w:r>
        <w:rPr>
          <w:caps w:val="false"/>
          <w:smallCaps w:val="false"/>
          <w:spacing w:val="-1"/>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As of March 31, 2026, there was $</w:t>
      </w:r>
      <w:bookmarkStart w:id="371" w:name="xdx_903_eus-gaap--DeferredCompensationAr"/>
      <w:bookmarkEnd w:id="371"/>
      <w:r>
        <w:rPr>
          <w:rFonts w:ascii="Times New Roman;Times;Serif" w:hAnsi="Times New Roman;Times;Serif"/>
          <w:b w:val="false"/>
          <w:i w:val="false"/>
          <w:caps w:val="false"/>
          <w:smallCaps w:val="false"/>
          <w:spacing w:val="-1"/>
          <w:sz w:val="20"/>
        </w:rPr>
        <w:t>1,849 of total unrecognized compensation cost related</w:t>
      </w:r>
      <w:r>
        <w:rPr>
          <w:rFonts w:ascii="Times New Roman;Times;Serif" w:hAnsi="Times New Roman;Times;Serif"/>
          <w:b w:val="false"/>
          <w:i w:val="false"/>
          <w:caps w:val="false"/>
          <w:smallCaps w:val="false"/>
          <w:sz w:val="20"/>
        </w:rPr>
        <w:t xml:space="preserve"> to unvested stock options. The Company expects to recognize the unrecognized compensation amount over a remaining weighted-average period of </w:t>
      </w:r>
      <w:bookmarkStart w:id="372" w:name="xdx_907_ecustom--UnrecognizedCompensatio"/>
      <w:bookmarkEnd w:id="372"/>
      <w:r>
        <w:rPr>
          <w:rFonts w:ascii="Times New Roman;Times;Serif" w:hAnsi="Times New Roman;Times;Serif"/>
          <w:b w:val="false"/>
          <w:i w:val="false"/>
          <w:caps w:val="false"/>
          <w:smallCaps w:val="false"/>
          <w:sz w:val="20"/>
        </w:rPr>
        <w:t>3.26 years. The fair value of stock options that vested during the three months ended March 31, 2026 and 2025, was $</w:t>
      </w:r>
      <w:bookmarkStart w:id="373" w:name="xdx_90A_eus-gaap--SharebasedCompensation"/>
      <w:bookmarkEnd w:id="373"/>
      <w:r>
        <w:rPr>
          <w:rFonts w:ascii="Times New Roman;Times;Serif" w:hAnsi="Times New Roman;Times;Serif"/>
          <w:b w:val="false"/>
          <w:i w:val="false"/>
          <w:caps w:val="false"/>
          <w:smallCaps w:val="false"/>
          <w:sz w:val="20"/>
        </w:rPr>
        <w:t>238 and $</w:t>
      </w:r>
      <w:bookmarkStart w:id="374" w:name="xdx_90A_eus-gaap--SharebasedCompensation"/>
      <w:bookmarkEnd w:id="374"/>
      <w:r>
        <w:rPr>
          <w:rFonts w:ascii="Times New Roman;Times;Serif" w:hAnsi="Times New Roman;Times;Serif"/>
          <w:b w:val="false"/>
          <w:i w:val="false"/>
          <w:caps w:val="false"/>
          <w:smallCaps w:val="false"/>
          <w:sz w:val="20"/>
        </w:rPr>
        <w:t>44,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w:t>
      </w:r>
      <w:bookmarkStart w:id="375" w:name="xdx_902_eus-gaap--ShareBasedCompensation"/>
      <w:bookmarkEnd w:id="375"/>
      <w:r>
        <w:rPr>
          <w:rFonts w:ascii="Times New Roman;Times;Serif" w:hAnsi="Times New Roman;Times;Serif"/>
          <w:b w:val="false"/>
          <w:i w:val="false"/>
          <w:caps w:val="false"/>
          <w:smallCaps w:val="false"/>
          <w:sz w:val="20"/>
        </w:rPr>
        <w:t xml:space="preserve">0.42 per share on March 31, 2026, there was </w:t>
      </w:r>
      <w:bookmarkStart w:id="376" w:name="xdx_903_eus-gaap--SharebasedCompensation"/>
      <w:bookmarkEnd w:id="376"/>
      <w:r>
        <w:rPr>
          <w:rFonts w:ascii="Times New Roman;Times;Serif" w:hAnsi="Times New Roman;Times;Serif"/>
          <w:b w:val="false"/>
          <w:i w:val="false"/>
          <w:caps w:val="false"/>
          <w:smallCaps w:val="false"/>
          <w:sz w:val="20"/>
        </w:rPr>
        <w:t>no intrinsic value attributed to exercisable and unexercised Common Stock options at March 31, 2026.</w:t>
      </w:r>
    </w:p>
    <w:p>
      <w:pPr>
        <w:pStyle w:val="TextBody"/>
        <w:bidi w:val="0"/>
        <w:spacing w:before="0" w:after="0"/>
        <w:ind w:left="0" w:right="0" w:firstLine="360"/>
        <w:jc w:val="left"/>
        <w:rPr>
          <w:caps w:val="false"/>
          <w:smallCaps w:val="false"/>
          <w:spacing w:val="-1"/>
        </w:rPr>
      </w:pPr>
      <w:r>
        <w:rPr>
          <w:caps w:val="false"/>
          <w:smallCaps w:val="false"/>
          <w:spacing w:val="-1"/>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following table below summarizes the classification of the Company’s stock-based compensation expense related to stock options and restricted</w:t>
      </w:r>
      <w:r>
        <w:rPr>
          <w:rFonts w:ascii="Times New Roman;Times;Serif" w:hAnsi="Times New Roman;Times;Serif"/>
          <w:b w:val="false"/>
          <w:i w:val="false"/>
          <w:caps w:val="false"/>
          <w:smallCaps w:val="false"/>
          <w:sz w:val="20"/>
        </w:rPr>
        <w:t xml:space="preserve"> Common Stock in the consolidated statements of operations and comprehensive loss:</w:t>
      </w:r>
    </w:p>
    <w:p>
      <w:pPr>
        <w:pStyle w:val="Normal"/>
        <w:bidi w:val="0"/>
        <w:spacing w:before="0" w:after="0"/>
        <w:jc w:val="left"/>
        <w:rPr>
          <w:sz w:val="4"/>
          <w:szCs w:val="4"/>
        </w:rPr>
      </w:pPr>
      <w:r>
        <w:rPr>
          <w:sz w:val="4"/>
          <w:szCs w:val="4"/>
        </w:rPr>
      </w:r>
      <w:bookmarkStart w:id="377" w:name="xdx_892_eus-gaap--ScheduleOfEmployeeServ"/>
      <w:bookmarkStart w:id="378" w:name="xdx_892_eus-gaap--ScheduleOfEmployeeServ"/>
      <w:bookmarkEnd w:id="378"/>
    </w:p>
    <w:tbl>
      <w:tblPr>
        <w:tblW w:w="10205" w:type="dxa"/>
        <w:jc w:val="left"/>
        <w:tblInd w:w="0" w:type="dxa"/>
        <w:tblLayout w:type="fixed"/>
        <w:tblCellMar>
          <w:top w:w="0" w:type="dxa"/>
          <w:left w:w="0" w:type="dxa"/>
          <w:bottom w:w="0" w:type="dxa"/>
          <w:right w:w="0" w:type="dxa"/>
        </w:tblCellMar>
      </w:tblPr>
      <w:tblGrid>
        <w:gridCol w:w="7785"/>
        <w:gridCol w:w="60"/>
        <w:gridCol w:w="295"/>
        <w:gridCol w:w="794"/>
        <w:gridCol w:w="141"/>
        <w:gridCol w:w="141"/>
        <w:gridCol w:w="295"/>
        <w:gridCol w:w="616"/>
        <w:gridCol w:w="78"/>
      </w:tblGrid>
      <w:tr>
        <w:trPr/>
        <w:tc>
          <w:tcPr>
            <w:tcW w:w="7785" w:type="dxa"/>
            <w:tcBorders/>
            <w:vAlign w:val="center"/>
          </w:tcPr>
          <w:p>
            <w:pPr>
              <w:pStyle w:val="TableContents"/>
              <w:bidi w:val="0"/>
              <w:spacing w:before="0" w:after="283"/>
              <w:jc w:val="left"/>
              <w:rPr/>
            </w:pPr>
            <w:bookmarkStart w:id="379" w:name="xdx_8B9_zJSnnqLhQQe2"/>
            <w:bookmarkEnd w:id="379"/>
            <w:r>
              <w:rPr/>
              <w:t> </w:t>
            </w:r>
            <w:r>
              <w:rPr/>
              <w:t>Summary of the classification of the company's stock-based compensation expense</w:t>
            </w:r>
          </w:p>
        </w:tc>
        <w:tc>
          <w:tcPr>
            <w:tcW w:w="60" w:type="dxa"/>
            <w:tcBorders/>
            <w:vAlign w:val="center"/>
          </w:tcPr>
          <w:p>
            <w:pPr>
              <w:pStyle w:val="TableContents"/>
              <w:bidi w:val="0"/>
              <w:spacing w:before="0" w:after="283"/>
              <w:jc w:val="left"/>
              <w:rPr/>
            </w:pPr>
            <w:r>
              <w:rPr/>
              <w:t> </w:t>
            </w:r>
          </w:p>
        </w:tc>
        <w:tc>
          <w:tcPr>
            <w:tcW w:w="1089"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11"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82"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78"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8" w:type="dxa"/>
            <w:tcBorders/>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20"/>
              </w:rPr>
            </w:pPr>
            <w:r>
              <w:rPr>
                <w:sz w:val="20"/>
              </w:rPr>
              <w:t>$</w:t>
            </w:r>
          </w:p>
        </w:tc>
        <w:tc>
          <w:tcPr>
            <w:tcW w:w="794" w:type="dxa"/>
            <w:tcBorders/>
            <w:shd w:fill="CCEEFF" w:val="clear"/>
            <w:vAlign w:val="center"/>
          </w:tcPr>
          <w:p>
            <w:pPr>
              <w:pStyle w:val="TableContents"/>
              <w:bidi w:val="0"/>
              <w:spacing w:before="0" w:after="283"/>
              <w:jc w:val="right"/>
              <w:rPr>
                <w:sz w:val="20"/>
              </w:rPr>
            </w:pPr>
            <w:bookmarkStart w:id="380" w:name="xdx_902_eus-gaap--AllocatedShareBasedCom"/>
            <w:bookmarkEnd w:id="380"/>
            <w:r>
              <w:rPr>
                <w:sz w:val="20"/>
              </w:rPr>
              <w:t>87</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20"/>
              </w:rPr>
            </w:pPr>
            <w:r>
              <w:rPr>
                <w:sz w:val="20"/>
              </w:rPr>
              <w:t>$</w:t>
            </w:r>
          </w:p>
        </w:tc>
        <w:tc>
          <w:tcPr>
            <w:tcW w:w="616" w:type="dxa"/>
            <w:tcBorders/>
            <w:shd w:fill="CCEEFF" w:val="clear"/>
            <w:vAlign w:val="center"/>
          </w:tcPr>
          <w:p>
            <w:pPr>
              <w:pStyle w:val="TableContents"/>
              <w:bidi w:val="0"/>
              <w:spacing w:before="0" w:after="283"/>
              <w:jc w:val="right"/>
              <w:rPr/>
            </w:pPr>
            <w:bookmarkStart w:id="381" w:name="xdx_909_eus-gaap--AllocatedShareBasedCom"/>
            <w:bookmarkEnd w:id="381"/>
            <w:r>
              <w:rPr/>
              <w:t>—</w:t>
            </w:r>
          </w:p>
        </w:tc>
        <w:tc>
          <w:tcPr>
            <w:tcW w:w="78"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sz w:val="20"/>
              </w:rPr>
            </w:pPr>
            <w:r>
              <w:rPr>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bookmarkStart w:id="382" w:name="xdx_908_eus-gaap--AllocatedShareBasedCom"/>
            <w:bookmarkEnd w:id="382"/>
            <w:r>
              <w:rPr>
                <w:sz w:val="20"/>
              </w:rPr>
              <w:t>5</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bookmarkStart w:id="383" w:name="xdx_906_eus-gaap--AllocatedShareBasedCom"/>
            <w:bookmarkEnd w:id="383"/>
            <w:r>
              <w:rPr/>
              <w:t>—</w:t>
            </w:r>
          </w:p>
        </w:tc>
        <w:tc>
          <w:tcPr>
            <w:tcW w:w="78"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sz w:val="20"/>
              </w:rPr>
            </w:pPr>
            <w:r>
              <w:rPr>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384" w:name="xdx_90A_eus-gaap--AllocatedShareBasedCom"/>
            <w:bookmarkEnd w:id="384"/>
            <w:r>
              <w:rPr>
                <w:sz w:val="20"/>
              </w:rPr>
              <w:t>146</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385" w:name="xdx_900_eus-gaap--AllocatedShareBasedCom"/>
            <w:bookmarkEnd w:id="385"/>
            <w:r>
              <w:rPr>
                <w:sz w:val="20"/>
              </w:rPr>
              <w:t>44</w:t>
            </w:r>
          </w:p>
        </w:tc>
        <w:tc>
          <w:tcPr>
            <w:tcW w:w="78"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86" w:name="xdx_908_eus-gaap--AllocatedShareBasedCom"/>
            <w:bookmarkEnd w:id="386"/>
            <w:r>
              <w:rPr>
                <w:sz w:val="20"/>
              </w:rPr>
              <w:t>238</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87" w:name="xdx_901_eus-gaap--AllocatedShareBasedCom"/>
            <w:bookmarkEnd w:id="387"/>
            <w:r>
              <w:rPr>
                <w:sz w:val="20"/>
              </w:rPr>
              <w:t>44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88" w:name="xdx_8A1_zzGqS16d1f1k"/>
      <w:bookmarkEnd w:id="38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9" w:name="xdx_805_eus-gaap--ScheduleOfSegmentRepor"/>
      <w:bookmarkEnd w:id="389"/>
      <w:r>
        <w:rPr>
          <w:rFonts w:ascii="Times New Roman;Times;Serif" w:hAnsi="Times New Roman;Times;Serif"/>
          <w:b/>
          <w:i w:val="false"/>
          <w:caps w:val="false"/>
          <w:smallCaps w:val="false"/>
          <w:sz w:val="20"/>
        </w:rPr>
        <w:t xml:space="preserve">10. </w:t>
      </w:r>
      <w:bookmarkStart w:id="390" w:name="xdx_82F_z79Ipk4QKtAi"/>
      <w:bookmarkEnd w:id="390"/>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condensed consolidated statements of operations and comprehensive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condensed consolidated balance sheet as total consolidated assets. The Company’s long-lived assets consist primarily of property and equipment, net. As of March 31, 2026 the Company does not have material long-term assets outside the U.S.</w:t>
      </w:r>
    </w:p>
    <w:p>
      <w:pPr>
        <w:pStyle w:val="TextBody"/>
        <w:bidi w:val="0"/>
        <w:spacing w:before="0" w:after="0"/>
        <w:ind w:left="0" w:right="0" w:hanging="0"/>
        <w:jc w:val="left"/>
        <w:rPr>
          <w:caps w:val="false"/>
          <w:smallCaps w:val="false"/>
        </w:rPr>
      </w:pPr>
      <w:bookmarkStart w:id="391" w:name="xdx_23A_zV99SrCPooT2"/>
      <w:bookmarkEnd w:id="391"/>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2" w:name="xdx_80C_eus-gaap--EarningsPerShareTextBl"/>
      <w:bookmarkEnd w:id="392"/>
      <w:r>
        <w:rPr>
          <w:rFonts w:ascii="Times New Roman;Times;Serif" w:hAnsi="Times New Roman;Times;Serif"/>
          <w:b/>
          <w:i w:val="false"/>
          <w:caps w:val="false"/>
          <w:smallCaps w:val="false"/>
          <w:sz w:val="20"/>
        </w:rPr>
        <w:t xml:space="preserve">11. </w:t>
      </w:r>
      <w:bookmarkStart w:id="393" w:name="xdx_826_zYHXuwgIToR6"/>
      <w:bookmarkEnd w:id="393"/>
      <w:r>
        <w:rPr>
          <w:rFonts w:ascii="Times New Roman;Times;Serif" w:hAnsi="Times New Roman;Times;Serif"/>
          <w:b/>
          <w:i w:val="false"/>
          <w:caps w:val="false"/>
          <w:smallCaps w:val="false"/>
          <w:sz w:val="20"/>
        </w:rPr>
        <w:t xml:space="preserve">Net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The following table sets forth the computation of basic and diluted net loss per common share attributable to stockholders:</w:t>
      </w:r>
    </w:p>
    <w:p>
      <w:pPr>
        <w:pStyle w:val="TextBody"/>
        <w:bidi w:val="0"/>
        <w:spacing w:lineRule="atLeast" w:line="216" w:before="0" w:after="0"/>
        <w:ind w:left="0" w:right="0" w:firstLine="508"/>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94" w:name="xdx_897_eus-gaap--ScheduleOfEarningsPerS"/>
      <w:bookmarkStart w:id="395" w:name="xdx_897_eus-gaap--ScheduleOfEarningsPerS"/>
      <w:bookmarkEnd w:id="395"/>
    </w:p>
    <w:tbl>
      <w:tblPr>
        <w:tblW w:w="10100" w:type="dxa"/>
        <w:jc w:val="left"/>
        <w:tblInd w:w="0" w:type="dxa"/>
        <w:tblLayout w:type="fixed"/>
        <w:tblCellMar>
          <w:top w:w="0" w:type="dxa"/>
          <w:left w:w="0" w:type="dxa"/>
          <w:bottom w:w="0" w:type="dxa"/>
          <w:right w:w="0" w:type="dxa"/>
        </w:tblCellMar>
      </w:tblPr>
      <w:tblGrid>
        <w:gridCol w:w="7550"/>
        <w:gridCol w:w="60"/>
        <w:gridCol w:w="125"/>
        <w:gridCol w:w="1055"/>
        <w:gridCol w:w="80"/>
        <w:gridCol w:w="60"/>
        <w:gridCol w:w="125"/>
        <w:gridCol w:w="950"/>
        <w:gridCol w:w="95"/>
      </w:tblGrid>
      <w:tr>
        <w:trPr/>
        <w:tc>
          <w:tcPr>
            <w:tcW w:w="7550" w:type="dxa"/>
            <w:tcBorders/>
            <w:vAlign w:val="center"/>
          </w:tcPr>
          <w:p>
            <w:pPr>
              <w:pStyle w:val="TableContents"/>
              <w:bidi w:val="0"/>
              <w:spacing w:before="0" w:after="283"/>
              <w:jc w:val="left"/>
              <w:rPr/>
            </w:pPr>
            <w:bookmarkStart w:id="396" w:name="xdx_8B7_zwdbUqUAuBRb"/>
            <w:bookmarkEnd w:id="396"/>
            <w:r>
              <w:rPr/>
              <w:t> </w:t>
            </w:r>
            <w:r>
              <w:rPr/>
              <w:t>Schedule of potential common shares, presented based on amounts outstanding</w:t>
            </w:r>
          </w:p>
        </w:tc>
        <w:tc>
          <w:tcPr>
            <w:tcW w:w="60" w:type="dxa"/>
            <w:tcBorders/>
            <w:vAlign w:val="center"/>
          </w:tcPr>
          <w:p>
            <w:pPr>
              <w:pStyle w:val="TableContents"/>
              <w:bidi w:val="0"/>
              <w:spacing w:before="0" w:after="283"/>
              <w:jc w:val="left"/>
              <w:rPr/>
            </w:pPr>
            <w:r>
              <w:rPr/>
              <w:t> </w:t>
            </w:r>
            <w:bookmarkStart w:id="397" w:name="xdx_498_20260101__20260331_zcmAom1JgOCb"/>
            <w:bookmarkEnd w:id="397"/>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8" w:name="xdx_492_20250101__20250331_zmcq82XPC7C8"/>
            <w:bookmarkEnd w:id="398"/>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95"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bookmarkStart w:id="399" w:name="xdx_401_ecustom--NumeratorAbstract_iB_zh"/>
            <w:bookmarkEnd w:id="399"/>
          </w:p>
        </w:tc>
      </w:tr>
      <w:tr>
        <w:trPr/>
        <w:tc>
          <w:tcPr>
            <w:tcW w:w="7550" w:type="dxa"/>
            <w:tcBorders/>
            <w:vAlign w:val="center"/>
          </w:tcPr>
          <w:p>
            <w:pPr>
              <w:pStyle w:val="TableContents"/>
              <w:bidi w:val="0"/>
              <w:spacing w:before="0" w:after="283"/>
              <w:jc w:val="left"/>
              <w:rPr>
                <w:sz w:val="20"/>
              </w:rPr>
            </w:pPr>
            <w:r>
              <w:rPr>
                <w:sz w:val="20"/>
              </w:rPr>
              <w:t>Numerator:</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400" w:name="xdx_402_eus-gaap--NetIncomeLoss_i01_pn3n"/>
            <w:bookmarkEnd w:id="400"/>
          </w:p>
        </w:tc>
      </w:tr>
      <w:tr>
        <w:trPr/>
        <w:tc>
          <w:tcPr>
            <w:tcW w:w="7550" w:type="dxa"/>
            <w:tcBorders/>
            <w:shd w:fill="CCEEFF" w:val="clear"/>
            <w:vAlign w:val="center"/>
          </w:tcPr>
          <w:p>
            <w:pPr>
              <w:pStyle w:val="TableContents"/>
              <w:bidi w:val="0"/>
              <w:spacing w:before="0" w:after="283"/>
              <w:jc w:val="left"/>
              <w:rPr>
                <w:sz w:val="20"/>
              </w:rPr>
            </w:pPr>
            <w:r>
              <w:rPr>
                <w:sz w:val="20"/>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(770</w:t>
            </w:r>
          </w:p>
        </w:tc>
        <w:tc>
          <w:tcPr>
            <w:tcW w:w="95" w:type="dxa"/>
            <w:tcBorders/>
            <w:shd w:fill="CCEEFF" w:val="clear"/>
            <w:vAlign w:val="center"/>
          </w:tcPr>
          <w:p>
            <w:pPr>
              <w:pStyle w:val="TableContents"/>
              <w:bidi w:val="0"/>
              <w:spacing w:before="0" w:after="283"/>
              <w:jc w:val="left"/>
              <w:rPr>
                <w:sz w:val="20"/>
              </w:rPr>
            </w:pPr>
            <w:r>
              <w:rPr>
                <w:sz w:val="20"/>
              </w:rPr>
              <w:t>)</w:t>
            </w:r>
            <w:bookmarkStart w:id="401" w:name="xdx_409_ecustom--DenominatorAbstract_iB_"/>
            <w:bookmarkEnd w:id="401"/>
          </w:p>
        </w:tc>
      </w:tr>
      <w:tr>
        <w:trPr/>
        <w:tc>
          <w:tcPr>
            <w:tcW w:w="7550" w:type="dxa"/>
            <w:tcBorders/>
            <w:shd w:fill="FFFFFF" w:val="clear"/>
            <w:vAlign w:val="center"/>
          </w:tcPr>
          <w:p>
            <w:pPr>
              <w:pStyle w:val="TableContents"/>
              <w:bidi w:val="0"/>
              <w:spacing w:before="0" w:after="283"/>
              <w:jc w:val="left"/>
              <w:rPr>
                <w:sz w:val="20"/>
              </w:rPr>
            </w:pPr>
            <w:r>
              <w:rPr>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sz w:val="20"/>
              </w:rPr>
            </w:pPr>
            <w:r>
              <w:rPr>
                <w:sz w:val="20"/>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bookmarkStart w:id="402" w:name="xdx_90E_eus-gaap--WeightedAverageNumberO"/>
            <w:bookmarkStart w:id="403" w:name="xdx_906_eus-gaap--WeightedAverageNumberO"/>
            <w:bookmarkEnd w:id="402"/>
            <w:bookmarkEnd w:id="403"/>
            <w:r>
              <w:rPr>
                <w:sz w:val="20"/>
              </w:rPr>
              <w:t>172,318,506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404" w:name="xdx_900_eus-gaap--WeightedAverageNumberO"/>
            <w:bookmarkStart w:id="405" w:name="xdx_905_eus-gaap--WeightedAverageNumberO"/>
            <w:bookmarkEnd w:id="404"/>
            <w:bookmarkEnd w:id="405"/>
            <w:r>
              <w:rPr>
                <w:sz w:val="20"/>
              </w:rPr>
              <w:t>42,482,376</w:t>
            </w:r>
          </w:p>
        </w:tc>
        <w:tc>
          <w:tcPr>
            <w:tcW w:w="95"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sz w:val="20"/>
              </w:rPr>
            </w:pPr>
            <w:r>
              <w:rPr>
                <w:sz w:val="20"/>
              </w:rPr>
              <w:t xml:space="preserve">Net loss per share attributable to common stockholders, </w:t>
              <w:br/>
              <w:t>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55" w:type="dxa"/>
            <w:tcBorders/>
            <w:shd w:fill="CCEEFF" w:val="clear"/>
            <w:vAlign w:val="center"/>
          </w:tcPr>
          <w:p>
            <w:pPr>
              <w:pStyle w:val="TableContents"/>
              <w:bidi w:val="0"/>
              <w:spacing w:before="0" w:after="283"/>
              <w:jc w:val="right"/>
              <w:rPr>
                <w:sz w:val="20"/>
              </w:rPr>
            </w:pPr>
            <w:bookmarkStart w:id="406" w:name="xdx_90E_eus-gaap--IncomeLossFromContinui"/>
            <w:bookmarkStart w:id="407" w:name="xdx_907_eus-gaap--IncomeLossFromContinui"/>
            <w:bookmarkEnd w:id="406"/>
            <w:bookmarkEnd w:id="407"/>
            <w:r>
              <w:rPr>
                <w:sz w:val="20"/>
              </w:rPr>
              <w:t>(0.01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bookmarkStart w:id="408" w:name="xdx_908_eus-gaap--IncomeLossFromContinui"/>
            <w:bookmarkStart w:id="409" w:name="xdx_907_eus-gaap--IncomeLossFromContinui"/>
            <w:bookmarkEnd w:id="408"/>
            <w:bookmarkEnd w:id="409"/>
            <w:r>
              <w:rPr>
                <w:sz w:val="20"/>
              </w:rPr>
              <w:t>(0.02</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lineRule="atLeast" w:line="216" w:before="0" w:after="0"/>
        <w:ind w:left="0" w:right="0" w:firstLine="508"/>
        <w:jc w:val="left"/>
        <w:rPr>
          <w:caps w:val="false"/>
          <w:smallCaps w:val="false"/>
        </w:rPr>
      </w:pPr>
      <w:bookmarkStart w:id="410" w:name="xdx_8AF_zJiqlvmWgNo1"/>
      <w:bookmarkEnd w:id="410"/>
      <w:r>
        <w:rPr>
          <w:caps w:val="false"/>
          <w:smallCaps w:val="false"/>
        </w:rPr>
        <w:t> </w:t>
      </w:r>
    </w:p>
    <w:p>
      <w:pPr>
        <w:pStyle w:val="TextBody"/>
        <w:bidi w:val="0"/>
        <w:spacing w:before="0" w:after="0"/>
        <w:ind w:left="84" w:right="84"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Company excluded the following potential common shares, presented based on amounts outstanding at each period end, from the computation</w:t>
      </w:r>
      <w:r>
        <w:rPr>
          <w:rFonts w:ascii="Times New Roman;Times;Serif" w:hAnsi="Times New Roman;Times;Serif"/>
          <w:b w:val="false"/>
          <w:i w:val="false"/>
          <w:caps w:val="false"/>
          <w:smallCaps w:val="false"/>
          <w:sz w:val="20"/>
        </w:rPr>
        <w:t xml:space="preserve"> of diluted net loss per share for the periods indicated:</w:t>
      </w:r>
    </w:p>
    <w:p>
      <w:pPr>
        <w:pStyle w:val="Normal"/>
        <w:bidi w:val="0"/>
        <w:spacing w:before="0" w:after="0"/>
        <w:jc w:val="left"/>
        <w:rPr>
          <w:sz w:val="4"/>
          <w:szCs w:val="4"/>
        </w:rPr>
      </w:pPr>
      <w:r>
        <w:rPr>
          <w:sz w:val="4"/>
          <w:szCs w:val="4"/>
        </w:rPr>
      </w:r>
      <w:bookmarkStart w:id="411" w:name="xdx_89B_eus-gaap--ScheduleOfAntidilutive"/>
      <w:bookmarkStart w:id="412" w:name="xdx_89B_eus-gaap--ScheduleOfAntidilutive"/>
      <w:bookmarkEnd w:id="412"/>
    </w:p>
    <w:tbl>
      <w:tblPr>
        <w:tblW w:w="10205" w:type="dxa"/>
        <w:jc w:val="left"/>
        <w:tblInd w:w="0" w:type="dxa"/>
        <w:tblLayout w:type="fixed"/>
        <w:tblCellMar>
          <w:top w:w="0" w:type="dxa"/>
          <w:left w:w="0" w:type="dxa"/>
          <w:bottom w:w="0" w:type="dxa"/>
          <w:right w:w="0" w:type="dxa"/>
        </w:tblCellMar>
      </w:tblPr>
      <w:tblGrid>
        <w:gridCol w:w="7510"/>
        <w:gridCol w:w="60"/>
        <w:gridCol w:w="60"/>
        <w:gridCol w:w="1220"/>
        <w:gridCol w:w="60"/>
        <w:gridCol w:w="60"/>
        <w:gridCol w:w="60"/>
        <w:gridCol w:w="1100"/>
        <w:gridCol w:w="75"/>
      </w:tblGrid>
      <w:tr>
        <w:trPr/>
        <w:tc>
          <w:tcPr>
            <w:tcW w:w="7510" w:type="dxa"/>
            <w:tcBorders/>
            <w:vAlign w:val="center"/>
          </w:tcPr>
          <w:p>
            <w:pPr>
              <w:pStyle w:val="TableContents"/>
              <w:bidi w:val="0"/>
              <w:spacing w:before="0" w:after="283"/>
              <w:jc w:val="center"/>
              <w:rPr>
                <w:sz w:val="24"/>
              </w:rPr>
            </w:pPr>
            <w:bookmarkStart w:id="413" w:name="xdx_8BD_ziVIHswRBZm5"/>
            <w:bookmarkEnd w:id="413"/>
            <w:r>
              <w:rPr>
                <w:sz w:val="24"/>
              </w:rPr>
              <w:t>Schedule of potential common shares, presented based on amounts outstanding </w:t>
            </w:r>
          </w:p>
        </w:tc>
        <w:tc>
          <w:tcPr>
            <w:tcW w:w="60" w:type="dxa"/>
            <w:tcBorders/>
            <w:vAlign w:val="center"/>
          </w:tcPr>
          <w:p>
            <w:pPr>
              <w:pStyle w:val="TableContents"/>
              <w:bidi w:val="0"/>
              <w:spacing w:before="0" w:after="283"/>
              <w:jc w:val="left"/>
              <w:rPr/>
            </w:pPr>
            <w:r>
              <w:rPr/>
              <w:t> </w:t>
            </w:r>
          </w:p>
        </w:tc>
        <w:tc>
          <w:tcPr>
            <w:tcW w:w="256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March 31,</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414" w:name="xdx_90F_eus-gaap--AntidilutiveSecurities"/>
            <w:bookmarkEnd w:id="414"/>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15" w:name="xdx_906_eus-gaap--AntidilutiveSecurities"/>
            <w:bookmarkEnd w:id="415"/>
            <w:r>
              <w:rPr/>
              <w:t>—</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Series C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416" w:name="xdx_908_eus-gaap--AntidilutiveSecurities"/>
            <w:bookmarkEnd w:id="416"/>
            <w:r>
              <w:rPr/>
              <w:t>11,983,000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17" w:name="xdx_90F_eus-gaap--AntidilutiveSecurities"/>
            <w:bookmarkEnd w:id="417"/>
            <w:r>
              <w:rPr/>
              <w:t>—</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Senior Secured Notes, including accrued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418" w:name="xdx_90D_eus-gaap--AntidilutiveSecurities"/>
            <w:bookmarkEnd w:id="418"/>
            <w:r>
              <w:rPr/>
              <w:t>154,235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19" w:name="xdx_90A_eus-gaap--AntidilutiveSecurities"/>
            <w:bookmarkEnd w:id="419"/>
            <w:r>
              <w:rPr/>
              <w:t>272,135</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Convertible promissory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420" w:name="xdx_90A_eus-gaap--AntidilutiveSecurities"/>
            <w:bookmarkEnd w:id="420"/>
            <w:r>
              <w:rPr/>
              <w:t>75,000,000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421" w:name="xdx_908_eus-gaap--AntidilutiveSecurities"/>
            <w:bookmarkEnd w:id="421"/>
            <w:r>
              <w:rPr/>
              <w:t>11,499,982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22" w:name="xdx_90B_eus-gaap--AntidilutiveSecurities"/>
            <w:bookmarkEnd w:id="422"/>
            <w:r>
              <w:rPr/>
              <w:t>11,499,982</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Private Placement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423" w:name="xdx_900_eus-gaap--AntidilutiveSecurities"/>
            <w:bookmarkEnd w:id="423"/>
            <w:r>
              <w:rPr/>
              <w:t>55,800,000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24" w:name="xdx_905_eus-gaap--AntidilutiveSecurities"/>
            <w:bookmarkEnd w:id="424"/>
            <w:r>
              <w:rPr/>
              <w:t>13,550,000</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Unvested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425" w:name="xdx_906_eus-gaap--AntidilutiveSecurities"/>
            <w:bookmarkEnd w:id="425"/>
            <w:r>
              <w:rPr/>
              <w:t>1,129,630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26" w:name="xdx_901_eus-gaap--AntidilutiveSecurities"/>
            <w:bookmarkEnd w:id="426"/>
            <w:r>
              <w:rPr/>
              <w:t>1,129,630</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Stock options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427" w:name="xdx_901_eus-gaap--AntidilutiveSecurities"/>
            <w:bookmarkEnd w:id="427"/>
            <w:r>
              <w:rPr/>
              <w:t>39,653,451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428" w:name="xdx_90B_eus-gaap--AntidilutiveSecurities"/>
            <w:bookmarkEnd w:id="428"/>
            <w:r>
              <w:rPr/>
              <w:t>1,103,451</w:t>
            </w:r>
          </w:p>
        </w:tc>
        <w:tc>
          <w:tcPr>
            <w:tcW w:w="75" w:type="dxa"/>
            <w:tcBorders/>
            <w:shd w:fill="FFFFFF" w:val="clear"/>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283"/>
              <w:jc w:val="left"/>
              <w:rPr/>
            </w:pPr>
            <w:r>
              <w:rPr/>
              <w:t>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29" w:name="xdx_904_eus-gaap--AntidilutiveSecurities"/>
            <w:bookmarkEnd w:id="429"/>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30" w:name="xdx_908_eus-gaap--AntidilutiveSecurities"/>
            <w:bookmarkEnd w:id="430"/>
            <w:r>
              <w:rPr/>
              <w:t>25,000</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31" w:name="xdx_901_eus-gaap--AntidilutiveSecurities"/>
            <w:bookmarkEnd w:id="431"/>
            <w:r>
              <w:rPr/>
              <w:t>210,245,298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32" w:name="xdx_900_eus-gaap--AntidilutiveSecurities"/>
            <w:bookmarkEnd w:id="432"/>
            <w:r>
              <w:rPr/>
              <w:t>27,580,198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3" w:name="xdx_8A1_zyIaOYVvksxk"/>
      <w:bookmarkEnd w:id="43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4" w:name="xdx_800_eus-gaap--SubsequentEventsTextBl"/>
      <w:bookmarkEnd w:id="434"/>
      <w:r>
        <w:rPr>
          <w:rFonts w:ascii="Times New Roman;Times;Serif" w:hAnsi="Times New Roman;Times;Serif"/>
          <w:b/>
          <w:i w:val="false"/>
          <w:caps w:val="false"/>
          <w:smallCaps w:val="false"/>
          <w:sz w:val="20"/>
        </w:rPr>
        <w:t xml:space="preserve">12. </w:t>
      </w:r>
      <w:bookmarkStart w:id="435" w:name="xdx_82F_z501gt7baDK5"/>
      <w:bookmarkEnd w:id="43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subsequent to March 31, 2026 and through June 4, 2026, which represents the date these unaudited condensed consolidated financial statements were available to be issued.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April 2026, the Company sold and issued to accredited investors a total of </w:t>
      </w:r>
      <w:bookmarkStart w:id="436" w:name="xdx_909_eus-gaap--SaleOfStockNumberOfSha"/>
      <w:bookmarkEnd w:id="436"/>
      <w:r>
        <w:rPr>
          <w:rFonts w:ascii="Times New Roman;Times;Serif" w:hAnsi="Times New Roman;Times;Serif"/>
          <w:b w:val="false"/>
          <w:i w:val="false"/>
          <w:caps w:val="false"/>
          <w:smallCaps w:val="false"/>
          <w:sz w:val="20"/>
          <w:shd w:fill="FFFFFF" w:val="clear"/>
        </w:rPr>
        <w:t xml:space="preserve">15,000 shares of Series D preferred shares (which are convertible into </w:t>
      </w:r>
      <w:bookmarkStart w:id="437" w:name="xdx_90C_eus-gaap--ProceedsFromConvertibl"/>
      <w:bookmarkEnd w:id="437"/>
      <w:r>
        <w:rPr>
          <w:rFonts w:ascii="Times New Roman;Times;Serif" w:hAnsi="Times New Roman;Times;Serif"/>
          <w:b w:val="false"/>
          <w:i w:val="false"/>
          <w:caps w:val="false"/>
          <w:smallCaps w:val="false"/>
          <w:sz w:val="20"/>
          <w:shd w:fill="FFFFFF" w:val="clear"/>
        </w:rPr>
        <w:t xml:space="preserve">34,160,784 shares of Common Stock, subject to adjustment) and Warrants to purchase up to </w:t>
      </w:r>
      <w:bookmarkStart w:id="438" w:name="xdx_90E_ecustom--NumberOfWarrantPurchase"/>
      <w:bookmarkEnd w:id="438"/>
      <w:r>
        <w:rPr>
          <w:rFonts w:ascii="Times New Roman;Times;Serif" w:hAnsi="Times New Roman;Times;Serif"/>
          <w:b w:val="false"/>
          <w:i w:val="false"/>
          <w:caps w:val="false"/>
          <w:smallCaps w:val="false"/>
          <w:sz w:val="20"/>
          <w:shd w:fill="FFFFFF" w:val="clear"/>
        </w:rPr>
        <w:t>17,080,392 shares of Common Stock (representing 50% warrant coverage on an as-converted basis) for total gross proceeds of $</w:t>
      </w:r>
      <w:bookmarkStart w:id="439" w:name="xdx_90D_ecustom--GrossProceeds_pn3n3_c20"/>
      <w:bookmarkEnd w:id="439"/>
      <w:r>
        <w:rPr>
          <w:rFonts w:ascii="Times New Roman;Times;Serif" w:hAnsi="Times New Roman;Times;Serif"/>
          <w:b w:val="false"/>
          <w:i w:val="false"/>
          <w:caps w:val="false"/>
          <w:smallCaps w:val="false"/>
          <w:sz w:val="20"/>
          <w:shd w:fill="FFFFFF" w:val="clear"/>
        </w:rPr>
        <w:t>15,000. The Company received net proceeds of $</w:t>
      </w:r>
      <w:bookmarkStart w:id="440" w:name="xdx_90B_ecustom--NetProceeds_pn3n3_c2026"/>
      <w:bookmarkEnd w:id="440"/>
      <w:r>
        <w:rPr>
          <w:rFonts w:ascii="Times New Roman;Times;Serif" w:hAnsi="Times New Roman;Times;Serif"/>
          <w:b w:val="false"/>
          <w:i w:val="false"/>
          <w:caps w:val="false"/>
          <w:smallCaps w:val="false"/>
          <w:sz w:val="20"/>
          <w:shd w:fill="FFFFFF" w:val="clear"/>
        </w:rPr>
        <w:t>13,838 after deducting commissions and fees. The Company intends to use the net proceeds for working capital and general corporate purposes.</w:t>
      </w:r>
    </w:p>
    <w:p>
      <w:pPr>
        <w:pStyle w:val="TextBody"/>
        <w:bidi w:val="0"/>
        <w:spacing w:before="0" w:after="0"/>
        <w:ind w:left="0" w:right="0" w:firstLine="554"/>
        <w:jc w:val="left"/>
        <w:rPr>
          <w:caps w:val="false"/>
          <w:smallCaps w:val="false"/>
          <w:shd w:fill="FFFFFF" w:val="clear"/>
        </w:rPr>
      </w:pPr>
      <w:r>
        <w:rPr>
          <w:caps w:val="false"/>
          <w:smallCaps w:val="false"/>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color w:val="212121"/>
          <w:sz w:val="20"/>
          <w:shd w:fill="FFFFFF" w:val="clear"/>
        </w:rPr>
      </w:pPr>
      <w:bookmarkStart w:id="441" w:name="xdx_907_eus-gaap--CommonStockConversionB"/>
      <w:bookmarkEnd w:id="441"/>
      <w:r>
        <w:rPr>
          <w:rFonts w:ascii="Times New Roman;Times;Serif" w:hAnsi="Times New Roman;Times;Serif"/>
          <w:b w:val="false"/>
          <w:i w:val="false"/>
          <w:caps w:val="false"/>
          <w:smallCaps w:val="false"/>
          <w:color w:val="212121"/>
          <w:sz w:val="20"/>
          <w:shd w:fill="FFFFFF" w:val="clear"/>
        </w:rPr>
        <w:t>Each share of Series D Convertible Preferred Stock is convertible into 2,278 shares of Common Stock of the Company at the election of the holder, subject to certain adjustments and to beneficial ownership limitations. Each share of Series D Convertible Preferred Stock shall be entitled to vote with the Company’s Common Stock on an as-converted basis, subject to beneficial ownership limitations. The holders of Series D Convertible Preferred Stock shall rank senior to the holders of Common Stock and all other preferred stock with respect to any liquidation, dissolution or winding up of the Company. The Series D Convertible Preferred Stock are not redeemable.</w:t>
      </w:r>
    </w:p>
    <w:p>
      <w:pPr>
        <w:pStyle w:val="TextBody"/>
        <w:bidi w:val="0"/>
        <w:spacing w:before="0" w:after="0"/>
        <w:ind w:left="0" w:right="0" w:firstLine="554"/>
        <w:jc w:val="left"/>
        <w:rPr>
          <w:caps w:val="false"/>
          <w:smallCaps w:val="false"/>
          <w:color w:val="212121"/>
          <w:shd w:fill="FFFFFF" w:val="clear"/>
        </w:rPr>
      </w:pPr>
      <w:r>
        <w:rPr>
          <w:caps w:val="false"/>
          <w:smallCaps w:val="false"/>
          <w:color w:val="212121"/>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the Offering, the Company paid the Placement Agents: (i) a cash fee equal to 6% of the gross proceeds received by the Company in the Offering, and (ii) issued them warrants to purchase 2% of the shares of Common Stock issuable upon conversion of the Series D.</w:t>
      </w:r>
    </w:p>
    <w:p>
      <w:pPr>
        <w:pStyle w:val="TextBody"/>
        <w:bidi w:val="0"/>
        <w:spacing w:before="0" w:after="0"/>
        <w:ind w:left="0" w:right="0" w:firstLine="554"/>
        <w:jc w:val="left"/>
        <w:rPr>
          <w:caps w:val="false"/>
          <w:smallCaps w:val="false"/>
          <w:shd w:fill="FFFFFF" w:val="clear"/>
        </w:rPr>
      </w:pPr>
      <w:r>
        <w:rPr>
          <w:caps w:val="false"/>
          <w:smallCaps w:val="false"/>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part of the Offering, the Company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pStyle w:val="TextBody"/>
        <w:bidi w:val="0"/>
        <w:spacing w:before="0" w:after="0"/>
        <w:ind w:left="0" w:right="0" w:firstLine="554"/>
        <w:jc w:val="left"/>
        <w:rPr>
          <w:caps w:val="false"/>
          <w:smallCaps w:val="false"/>
          <w:shd w:fill="FFFFFF" w:val="clear"/>
        </w:rPr>
      </w:pPr>
      <w:r>
        <w:rPr>
          <w:caps w:val="false"/>
          <w:smallCaps w:val="false"/>
          <w:shd w:fill="FFFFFF" w:val="clear"/>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May 1, 2026, the Company voluntarily filed a registration statement on Form 8-A with the Securities and Exchange Commission to register the Company’s Common Stock pursuant to Section 12(g) of the Securities Exchange Act of 1934 (the Exchange Act”) to enable the Company to become a mandatory “reporting company” subject to the Exchange Act. As a mandatory “reporting company” the Company is now required to make periodic disclosures including, by filing annual reports on Form 10-K, Quarterly Reports on Form 10-Q and must promptly disclose certain important events on a Form 8-K in addition to being subject to other Exchange Act reporting obligations including the proxy rules.</w:t>
      </w:r>
      <w:r>
        <w:rPr>
          <w:rFonts w:ascii="Times New Roman;Times;Serif" w:hAnsi="Times New Roman;Times;Serif"/>
          <w:b w:val="false"/>
          <w:i w:val="false"/>
          <w:caps w:val="false"/>
          <w:smallCaps w:val="false"/>
          <w:sz w:val="20"/>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7, 2026, the Company issued a total of </w:t>
      </w:r>
      <w:bookmarkStart w:id="442" w:name="xdx_90B_eus-gaap--StockIssuedDuringPerio"/>
      <w:bookmarkEnd w:id="442"/>
      <w:r>
        <w:rPr>
          <w:rFonts w:ascii="Times New Roman;Times;Serif" w:hAnsi="Times New Roman;Times;Serif"/>
          <w:b w:val="false"/>
          <w:i w:val="false"/>
          <w:caps w:val="false"/>
          <w:smallCaps w:val="false"/>
          <w:sz w:val="20"/>
        </w:rPr>
        <w:t>15,000,000 shares of Common Stock pursuant to the automatic conversion of 26,983 shares of Series A Convertible Preferred Stock upon completion of certain trigger events.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2026, the Company issued </w:t>
      </w:r>
      <w:bookmarkStart w:id="443" w:name="xdx_909_eus-gaap--StockIssuedDuringPerio"/>
      <w:bookmarkEnd w:id="443"/>
      <w:r>
        <w:rPr>
          <w:rFonts w:ascii="Times New Roman;Times;Serif" w:hAnsi="Times New Roman;Times;Serif"/>
          <w:b w:val="false"/>
          <w:i w:val="false"/>
          <w:caps w:val="false"/>
          <w:smallCaps w:val="false"/>
          <w:sz w:val="20"/>
        </w:rPr>
        <w:t>10,415 shares of the Company’s Common Stock to a consultant pursuant to a stock option exercise.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Company granted stock options exercisable into 910,000 shares of its Common Stock to its employees and advisors. The stock options are exercisable at an estimated weighted average price of $0.75 per share.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maturity date of the Convertible Promissory Notes (see Note 4) was extended to June 2027.</w:t>
      </w:r>
    </w:p>
    <w:p>
      <w:pPr>
        <w:pStyle w:val="TextBody"/>
        <w:bidi w:val="0"/>
        <w:spacing w:before="0" w:after="0"/>
        <w:ind w:left="0" w:right="0" w:firstLine="554"/>
        <w:jc w:val="left"/>
        <w:rPr>
          <w:caps w:val="false"/>
          <w:smallCaps w:val="false"/>
        </w:rPr>
      </w:pPr>
      <w:bookmarkStart w:id="444" w:name="xdx_81B_zjp8RSTlbXd7"/>
      <w:bookmarkEnd w:id="444"/>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5" w:name="a_013"/>
      <w:bookmarkEnd w:id="44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Zapata Quantum, Inc. (the “Company”) as of December 31, 2025 and 2024, the related statements of operations and comprehensive income (loss), stockholders’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the Company has had recurring losses from operations since inception, incurred a net loss and used cash in operations during the year ended December 31, 2025, and had a stockholders’ deficiency as of that date. These matters raise substantial doubt about the Company’s ability to continue as a going concern. Management’s plans in regard to these matters are also described in Note 1 to the financial statements. These financial statements do not include any adjustments that might result from the outcome of this uncertainty.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6" w:name="a_014"/>
      <w:bookmarkEnd w:id="446"/>
      <w:r>
        <w:rPr>
          <w:rFonts w:ascii="Times New Roman;Times;Serif" w:hAnsi="Times New Roman;Times;Serif"/>
          <w:b/>
          <w:i w:val="false"/>
          <w:caps w:val="false"/>
          <w:smallCaps w:val="false"/>
          <w:sz w:val="20"/>
        </w:rP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7890"/>
        <w:gridCol w:w="60"/>
        <w:gridCol w:w="143"/>
        <w:gridCol w:w="867"/>
        <w:gridCol w:w="80"/>
        <w:gridCol w:w="60"/>
        <w:gridCol w:w="143"/>
        <w:gridCol w:w="867"/>
        <w:gridCol w:w="95"/>
      </w:tblGrid>
      <w:tr>
        <w:trPr/>
        <w:tc>
          <w:tcPr>
            <w:tcW w:w="7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($0 and $1,567 from related parties,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($0 and $5,504 to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legal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settlement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current ($300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party,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party,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stock (Series A), $0.0001 par value; 15,000 and 0 shares authorized at December 31, 2025 and 2024, respectively; 15,000 and 0 shares issued and outstanding at December 31, 2025 and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preferred stock (Series C), $0.0001 par value; 23,000 and 0 shares authorized at December 31, 2025 and 2024, respectively; 11,983 and 0 shares issued and outstanding at December 31, 2025 and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600,000,000 shares authorized; 172,318,506 and 43,589,506 shares issued and outstanding at December 31, 2025 and 2024,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7" w:name="a_015"/>
      <w:bookmarkEnd w:id="447"/>
      <w:r>
        <w:rPr>
          <w:rFonts w:ascii="Times New Roman;Times;Serif" w:hAnsi="Times New Roman;Times;Serif"/>
          <w:b/>
          <w:i w:val="false"/>
          <w:caps w:val="false"/>
          <w:smallCaps w:val="false"/>
          <w:sz w:val="20"/>
        </w:rPr>
        <w:t>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tbl>
      <w:tblPr>
        <w:tblW w:w="9605" w:type="dxa"/>
        <w:jc w:val="left"/>
        <w:tblInd w:w="0" w:type="dxa"/>
        <w:tblLayout w:type="fixed"/>
        <w:tblCellMar>
          <w:top w:w="0" w:type="dxa"/>
          <w:left w:w="0" w:type="dxa"/>
          <w:bottom w:w="0" w:type="dxa"/>
          <w:right w:w="0" w:type="dxa"/>
        </w:tblCellMar>
      </w:tblPr>
      <w:tblGrid>
        <w:gridCol w:w="7055"/>
        <w:gridCol w:w="60"/>
        <w:gridCol w:w="125"/>
        <w:gridCol w:w="1055"/>
        <w:gridCol w:w="80"/>
        <w:gridCol w:w="60"/>
        <w:gridCol w:w="125"/>
        <w:gridCol w:w="950"/>
        <w:gridCol w:w="95"/>
      </w:tblGrid>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($0 and $1,300 from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($0 and $3,783 from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forward purchase agreement settlement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($2,610 and $0 from related parties,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forbearance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101,862,348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227,397,251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accompanying notes are an integral part of these consolidated financial statements.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8" w:name="a_016"/>
      <w:bookmarkEnd w:id="448"/>
      <w:r>
        <w:rPr>
          <w:rFonts w:ascii="Times New Roman;Times;Serif" w:hAnsi="Times New Roman;Times;Serif"/>
          <w:b/>
          <w:i w:val="false"/>
          <w:caps w:val="false"/>
          <w:smallCaps w:val="false"/>
          <w:sz w:val="20"/>
        </w:rPr>
        <w:t xml:space="preserve">CONSOLIDATED STATEMENTS OF STOCKHOLDERS’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December 31, 2025 and 2024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thousands, except share amounts) </w:t>
      </w: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1946"/>
        <w:gridCol w:w="60"/>
        <w:gridCol w:w="63"/>
        <w:gridCol w:w="944"/>
        <w:gridCol w:w="84"/>
        <w:gridCol w:w="63"/>
        <w:gridCol w:w="116"/>
        <w:gridCol w:w="609"/>
        <w:gridCol w:w="80"/>
        <w:gridCol w:w="60"/>
        <w:gridCol w:w="60"/>
        <w:gridCol w:w="920"/>
        <w:gridCol w:w="60"/>
        <w:gridCol w:w="60"/>
        <w:gridCol w:w="179"/>
        <w:gridCol w:w="426"/>
        <w:gridCol w:w="60"/>
        <w:gridCol w:w="60"/>
        <w:gridCol w:w="120"/>
        <w:gridCol w:w="665"/>
        <w:gridCol w:w="80"/>
        <w:gridCol w:w="60"/>
        <w:gridCol w:w="270"/>
        <w:gridCol w:w="860"/>
        <w:gridCol w:w="80"/>
        <w:gridCol w:w="60"/>
        <w:gridCol w:w="136"/>
        <w:gridCol w:w="829"/>
        <w:gridCol w:w="80"/>
        <w:gridCol w:w="60"/>
        <w:gridCol w:w="152"/>
        <w:gridCol w:w="802"/>
        <w:gridCol w:w="101"/>
      </w:tblGrid>
      <w:tr>
        <w:trPr/>
        <w:tc>
          <w:tcPr>
            <w:tcW w:w="19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r>
      <w:tr>
        <w:trPr/>
        <w:tc>
          <w:tcPr>
            <w:tcW w:w="19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 Preferred – Series A and C</w:t>
              <w:br/>
              <w:t>Stock ($0.0001 par</w:t>
              <w:br/>
              <w:t>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b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Stockholders’</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Balances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13,001,114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4,678,950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(89,526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(10,226</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resulting from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on issuance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9,776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pursuant to the forward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(10,986</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related to the conversion of Senior Secured Notes (856,202 shares or $3,853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3,257,876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14,660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in connection with debt issuance costs related to senior secured notes and capital markets advisory agreements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42,372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pursuant to the equity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13,078,780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8,564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redeemable convertible preferred stock into Common Stock in connection with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(13,001,114</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13,001,114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Commitment shares issued pursuant to the equity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7,596,206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costs in connection with the reverse recapitalization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(7,058</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Partial early termination of the forward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under the 2024 Plan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Vesting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(38,143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(38,143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Cumulative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Balances at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43,589,506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(127,669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(23,473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units to officers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65,050,000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resulting from the Consent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in settlement of related party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5,407,000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lineRule="auto" w:line="276"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in settlement of Forward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6,591,000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resulting from the Conversion Agreements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17,681,000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Series A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Series C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11,983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9,336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Cumulative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4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Balances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26,983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172,318,506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(118,333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(8,267</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ZAPATA QUANTUM,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9" w:name="a_017"/>
      <w:bookmarkEnd w:id="449"/>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tbl>
      <w:tblPr>
        <w:tblW w:w="10205" w:type="dxa"/>
        <w:jc w:val="left"/>
        <w:tblInd w:w="0" w:type="dxa"/>
        <w:tblLayout w:type="fixed"/>
        <w:tblCellMar>
          <w:top w:w="0" w:type="dxa"/>
          <w:left w:w="0" w:type="dxa"/>
          <w:bottom w:w="0" w:type="dxa"/>
          <w:right w:w="0" w:type="dxa"/>
        </w:tblCellMar>
      </w:tblPr>
      <w:tblGrid>
        <w:gridCol w:w="8239"/>
        <w:gridCol w:w="60"/>
        <w:gridCol w:w="142"/>
        <w:gridCol w:w="622"/>
        <w:gridCol w:w="91"/>
        <w:gridCol w:w="68"/>
        <w:gridCol w:w="142"/>
        <w:gridCol w:w="742"/>
        <w:gridCol w:w="99"/>
      </w:tblGrid>
      <w:tr>
        <w:trPr/>
        <w:tc>
          <w:tcPr>
            <w:tcW w:w="8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8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8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9,366</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(38,143</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vendor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allowance for doubtful accounts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senior secured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forward purchase agreement settlement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(9,117</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forbearance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line of credit commitment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fixed assets disposal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and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and 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legal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settlement obligation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(1,665</w:t>
            </w:r>
          </w:p>
        </w:tc>
        <w:tc>
          <w:tcPr>
            <w:tcW w:w="9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(18,108</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Common Stock under equity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partial early termination of the forward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note payable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note payable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for forward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paid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senior and 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convertible notes,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Series A preferred stock,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3,018</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1,300</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(3,110</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1,659</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conversion of senior secured notes ($3,853 and $0 from related parties,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debt issuance costs related to senior secured notes and capital markets advisory agreements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senior secured notes in lieu of payments for offering costs and capital markets advisory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included in accounts payable and 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in included in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preferred stock upon the reverse 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64,716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under the 2024 Equity and Incentive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 included in 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assumed from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settlement of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in connection with settlement of forward purchase obligation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FFFFFF" w:val="clear"/>
            <w:vAlign w:val="center"/>
          </w:tcPr>
          <w:p>
            <w:pPr>
              <w:pStyle w:val="TableContents"/>
              <w:bidi w:val="0"/>
              <w:spacing w:lineRule="auto" w:line="27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upon conversion of related party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C preferred stock in connection with settlement of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18"/>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18"/>
        </w:rPr>
      </w:pPr>
      <w:bookmarkStart w:id="450" w:name="a_018"/>
      <w:bookmarkEnd w:id="450"/>
      <w:r>
        <w:rPr>
          <w:rFonts w:ascii="Times New Roman;Times;Serif" w:hAnsi="Times New Roman;Times;Serif"/>
          <w:b/>
          <w:i w:val="false"/>
          <w:caps w:val="false"/>
          <w:smallCaps w:val="false"/>
          <w:sz w:val="18"/>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(Dollar amounts in thousands, except per share and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formerly known as Zapata Computing Holdings Inc. and, prior to that as, as Andretti Acquisition Corp. (“AAC”) was incorporated as a Cayman Islands exempted company on January 20, 2021. Effective August 21, 2025, Zapata Computing Holdings, Inc. changed its name to Zapata Quantum, Inc. On March 28, 2024, AAC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AAC was domesticated and continues as a Delaware corporation and changed its name to Zapata Computing Holdings Inc. AAC was formed for the purpose of effecting a merger, consolidation share exchange, asset acquisition, share purchase, reorganization or similar business combination with one or more businesses or entities. On March 28, 2024 (the “Closing Date” or “Closing”), AAC consummated a business combination with Zapata Computing, Inc. (“Legacy Zapata”) pursuant to the Business Combination Agreement by and among AAC, Tigre Merger Sub, Inc. and Legacy Zapata entered into on September 6, 2023 (the “Business Combination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is a holding company whose principal asset is its ownership interest in Legacy Zapata and operates and controls all of the businesses and operations of Legacy Zapata and its subsidiaries. Zapata Quantum, Inc. and its predecessor, AAC, are collectively referred to herein as “Zapata” or the “Company”. On the Closing Date, AAC and Legacy Zapata, consummated a business combination (the “Merger”) (Note 3) pursuant to the Business Combination Agreement. In connection with the Closing of the Merger, AAC changed its name to Zapata Computing Holdings Inc. The Company’s Common Stock and warrants commenced trading on the Nasdaq Global Market and the Nasdaq Capital Market, respectively, under the new trading symbols “ZPTA” and “ZPTAW”, respectively, on April 1, 2024. The Merger was accounted for as a reverse recapitalization in accordance with U.S. GAAP. Under this method of accounting, AAC, which was the legal acquirer, was treated as the “acquired” company for financial reporting purposes and Legacy Zapata, a direct wholly owned subsidiary of AAC, was treated as the accounting acquirer.</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equity structure has been restated in all comparative periods up to the Closing Date, to reflect the number of shares of the Company’s Common Stock, par value $0.0001, issued to Legacy Zapata’s stockholders in connection with the recapitalization transaction. As such, the Company’s Common Stock and the corresponding capital amounts and earnings per share related to Legacy Zapata’s Common Stock prior to the Merger have been retrospectively restated as shares reflecting the conversion upon the closing of the Merger calculated in accordance with the Business Combination Agreement by multiplying each share of Convertible Preferred Stock (as defined below) by 0.9141 (the “Exchange Ratio”).</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Board of Directors of the Company approved the cessation of its operations (the “Operational Cessation”) due to insufficient financial resources to continue funding ongoing operations and meet existing obligations. In connection with the Operational Cessation, the Company terminated all employees, except for a limited number of personnel retained for a short transitional period to assist with the wind-down of business activities. Following the Operational Cessation, the Company maintained minimal day-to-day operations.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undertook restructuring activities aimed at restarting certain aspects of its core business (Notes 8, 9, and 10).</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2025, following a strategic realignment to refocus on its core quantum mission, the Company offers deliver subscription-based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Prior to October 31, 2025, the Company also offered specialized generative AI solutions which used techniques inspired by quantum physics and were tailored to solving complex industrial problems. These solutions combined software and related services and were subscription-based.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 The Company has incurred significant losses and negative cash flows from operations since the inception of Legacy Zapata in November 2017, expects to continue to incur losses and negative cash flows for the foreseeable future as the Company expands its penetration of the quantum computing application development market, and had a stockholders’ deficit as of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F-19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December 31, 2025, the Company has financed its operations primarily through sales of its Convertible Preferred Stock, as defined below, and Common Stock and with issuances of Senior Notes and Senior Secured Notes, as defined below. The Company generated net income of $9,336 for the year ended December 31, 2025, and a net loss of $38,143 for the year ended December 31, 2024. As of December 31, 2025 and 2024, the Company had an accumulated deficit of $118,333 and $127,669,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upon the Company’s ability to raise capital through future equity or debt financing and generate profits from its operations. The Company is pursuing all available options for funding, which include seeking public or private investments and funding through the sale of equity or debt securities.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raised an aggregate of $2,925 through the issuance of Convertible Notes and $1,436 through the sale of Series A Convertible Preferred Stock. The proceeds from the Convertible Notes were used to repay one of the Company’s outstanding Senior Secured Notes. In addition, in 2025, the Company entered into conversion agreements with certain creditors to settle approximately $13,240 of accounts payable, accrued expenses, and notes payable to related parties. The Company also settled its obligation of $2,436 under the Forward Purchase Agreement through the issuance of shares of the Company’s Common Stock. The Company also entered into Forbearance Agreements extinguishing $1,887 due to two third-party creditors (Note 9). These activities were undertaken as part of the Company’s ongoing efforts to improve the Company’s capital structure and provide the liquidity necessary to support restarting certain aspects of its core business.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believes that it will be able to continue to raise funds by sale of its securities to provide the additional cash needed to meet the Company’s obligations, the ongoing execution and performance of its core business require substantial funds to implement and there is no assurance that the Company will be able to continue raising the additional capital necessary to continue operations and execute on the Company’s business plan.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raise substantial doubt about the Company’s ability to continue as a going concern.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be necessary should the Company be unable to continue as a going concern. The Company has evaluated whether there are certain conditions and events, considered in the aggregate, that raise substantial doubt about the Company’s ability to continue as a going concern within one year after the date that the consolidated financial statements are issued. The Company has incurred significant losses and negative cash flows from operations since the inception of Legacy Zapata in November 2017 and expects to continue to incur losses and negative cash flows for the foreseeable future as the Company expands its penetration of the quantum computing application development solutions market.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F-20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Summary of Significant Accounting Policies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Basis of Presentation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The financial statements include the accounts of Zapata Quantum Inc, and its wholly owned subsidiaries Zapata Government Services, Inc., Zapata Computing Security Corporation, Zapata Computing Canada, Inc., Zapata Computing U.K. Limited, Zapata Japan, Inc., and Zapata Computing Spain, S.L. </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Estimates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periods. Significant estimates and assumptions reflected within these consolidated financial statements include, but are not limited to, revenue recognition, the Forward Purchase Agreement derivative liability, the valuation of the Company’s Common Stock, and the fair value of stock-based awards. The Company’s estimates are based on historical information available as of the date of the consolidated financial statements and various other assumptions that the Company believes are reasonable under the circumstances. Actual results may differ materially from those estimates or assumptions.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and Currency Translation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wholly owned foreign subsidiaries in Canada, Japan, Spain and the United Kingdom is United States dollars (“USD”), Japanese Yen, Euro and British Pound, respectively. Assets and liabilities of these subsidiaries are translated into USD at the exchange rate in effect on the balance sheet date. Income and expenses are translated at the average exchange rate in effect during the period. Unrealized translation gains and losses are recorded as a translation adjustment, which is included in the consolidated statements of stockholders’ deficit as a component of accumulated other comprehensive loss. Adjustments that arise from exchange rate changes on transactions denominated in a currency other than the local currency are included in other income (expense), net in the consolidated statements of operations and comprehensive loss.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subject the Company to credit risk consist primarily of cash and cash equivalents and accounts receivable. The Company maintains its cash and cash equivalents at high-quality and accredited financial institutions.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and generally requires no collateral to secure accounts receivable. Accounts receivable is presented after consideration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customer collection matters, including the aging of unpaid accounts receivable and changes in customer financial conditions. Account balances are written off after all means of collection are exhausted and the potential for recovery is determined to not be probable. As of December 31, 2025 and 2024, the Company recorded an allowance for credit losses of $28 and $0,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time of initial purchase to be cash equivalents. As of December 31, 2025 and 2024, the amount of cash equivalents included in cash and cash equivalents totaled $0 and $38,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F-21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consist primarily of property and equipment. Long-lived assets to be held and used are tested for recoverability whenever events or changes in business circumstances indicate that the carrying amount of the assets may not be fully recoverable.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is measured based on the excess of the carrying value of the impaired asset group over its fair value. The Company recognized no impairment losses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Legal Fees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fees consist of consideration to be paid to AAC’s legal advisors in connection with its initial public offering (“IPO”) and the consummation of the Merger. The deferred legal fees were payable in equal monthly installments over the twelve-month period beginning May 3, 2024. The Company ceased making payments in the fourth quarter of 2024 due to the Operational Cessation, and the remaining balance of $2,621 was subsequently converted into the Company’s Common Stock in the second quarter of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Segment Information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business as a single operating segment for the purposes of assessing performance and making operating decisions. The Company’s chief executive officer, who is the chief operating decision maker, reviews the Company’s financial information on a consolidated basis for purposes of evaluating financial performance and allocating resources. As of December 31, 2025 and 2024, the Company does not have material long-term assets outside the U.S.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Capitalization of Software Development Costs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software development costs related to development of its quantum computing platform. Given that the Company may sell the platform both as a service as well as a license, the Company evaluates software development costs to determine the point where technological feasibility is established. The Company has determined that technological feasibility is typically concurrently with the release, and therefore there have not been costs capitalized through December 31, 2025. Costs incurred in connection with maintenance and customer support are also expensed as incurred.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the Company satisfies a performance obligation by transferring goods or services promised in a contract to a customer, in an amount that reflects the consideration that the Company expects to receive in exchange for those goods or services. Performance obligations in contracts represent distinct or separate goods or services that the Company provides to customers.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the Company satisfies the performance obligations.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Company assesses the goods and services promised in its contracts with customers and identifies a performance obligation for each promise to transfer to the customer a good or service (or bundle of goods or services) that is distinct.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F-22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primarily from subscriptions to its software platform and related services. Subscriptions to its software platform are currently offered as stand-ready access to its cloud environment on an annual or multi-year basis. The Company’s consulting services may result in either single or multiple performance obligations based on the contractual terms. The Company also offers services in the form of stand-ready scientific and software engineering services, which are typically only offered in conjunction with its software platform. The Company evaluates its contracts at inception to determine if the promises represent a single, combined performance obligation, or multiple performance obligations. It allocates the transaction price to the performance obligations identified. Judgment is required to allocate the transaction price to each performance obligation. The Company utilizes a stand-alone selling price methodology based on observable or estimated prices for each performance obligation. The Company considers market conditions, entity-specific factors, and information about the customer that is reasonably available to the entity when estimating stand-alone selling price for those performance obligations without an observable selling price. The Company’s contracts do not contain rights of return, and any variable consideration as the result of service level agreements has been immaterial. The Company does not have other contractual terms that give rise to variable consideration.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subscriptions to the Company’s Orquestra Platform to date have only been sold as access to the platform in its hosted environment and are therefore recognized over the contract term on a ratable basis, as the promise represents a stand-ready performance obligation.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consulting services is generally recognized over time. The Company’s contracts typically contain fixed-fee transaction prices. The Company determines and records a provision for loss contracts at the contract level when the current estimate of total costs of the contract at completion exceeds the total consideration the Company expects to receive. The Company has not recorded any provision for loss contracts at December 31, 2025 or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consulting services, the Company measures progress toward satisfaction of the performance obligation as the services are provided, and revenue is generally recognized based on the labor hours expended over time. Through this method, the Company recognizes revenue based on the actual labor hours incurred to date compared to the current estimate of total labors hours to satisfy the performance obligation. The Company believes this method best reflects the transfer of control to the customer. This method requires periodic updates to the total estimated hours to complete the contract, and these updates may include subjective assessments and judgments. The Company had limited contracts for which, based on the Company’s determination of the enforceability of payment terms, revenue was recognized at a point in time when payment became enforceable.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services sold in the form of stand-ready scientific and software engineering services are recognized over the contract term on a ratable basis, as the obligation represents a stand-ready obligation.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enter into arrangements to build license applications that can be used in conjunction with its Orquestra Platform or separately. To date, the license application built has been delivered as a perpetual license with associated post-contract support. The Company recognizes the license at the time of deployment, and the related post-contract support over the contracted service period on a ratable basis, as it is provided as a stand-ready service.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contract and do not contain significant financing components. Amounts collected in advance of revenue recognized are recorded as deferred revenue in the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includes expenses related to supporting product offerings. The Company’s primary cost of revenue is personnel costs, including salaries and other personnel-related expense. Cost of revenue also includes costs relating to the Company’s information technology and systems, including depreciation, network costs, data center maintenance, database management and data processing costs. The Company allocates these overhead expenses based on headcount, and thus these expenses are reflected in cost of revenue and each operating expense category.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F-23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expenses and overhead costs incurred in developing new products. The Company expenses all research and development costs as incurred.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 Expenses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expenses, which are included in sales and marketing expense in the consolidated statements of operations and comprehensive loss, primarily include promotional expenditures, and are expensed as incurred. The amount incurred for advertising expenses for the years ended December 31, 2025 and 2024 were $13 and $3,783,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sales and marketing expenses consist primarily of personnel-related costs, including salaries and wages, benefits, commissions, bonuses and stock-based compensation expense for the Company’s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related costs, for personnel and consultants in the Company’s executive and finance functions. General and administrative expenses also include professional fees for legal, finance, accounting, intellectual property, auditing, tax and consulting services, travel expenses and facility-related expenses, which include allocated expenses for rent and maintenance of facilities and other operating costs not otherwise included in research and development expenses or sales and marketing expenses.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stock-based options granted to employees, directors and non-employees based on the fair value of the awards on the date of grant using the Black-Scholes option-pricing model. The Company measures restricted stock awards using the difference, if any, between the purchase price per share of the award and the fair value of the Company’s Common Stock at the date of grant.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stock options and restricted stock awards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The Company accounts for forfeitures as they occur.</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F-24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percent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2025 and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(the “JOBS Act”). Pursuant to the JOBS Act, an emerging growth company is provided the option to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As a result, the Company’s consolidated financial statements may not be comparable to those public companies that comply with new or revised accounting pronouncements as of public company effective dates. The Company may choose to early adopt any new or revised accounting standards whenever such early adoption is permitted for nonpublic companies.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F-25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Accounting Pronouncements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Merger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Company completed its planned Merger with Legacy Zapata, pursuant to which Legacy Zapata became a wholly owned subsidiary of the Company.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AAC filed an application for deregistration with the Cayman Islands Registrar of Companies and filed a certificate of incorporation and a certificate of corporate domestication with the Secretary of State of the state of Delaware, under which AAC was domesticated and continues as a Delaware corporation (the “Domestication”), changing its name to Zapata Computing Holdings Inc. At the effective time of the Domestication, existing holders of ordinary shares of AAC received 7,596,206 shares of the Company’s Common Stock in exchange for their Class A and Class B ordinary shares held immediately prior to the consummation of the Merger.</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Closing of the Merger, holders of shares of Legacy Zapata Common Stock and Legacy Zapata Convertible Preferred Stock received an aggregate of 17,696,425 shares of the Company’s Common Stock, and holders of Legacy Zapata Options received options to purchase an aggregate of 3,016,409 shares of the Company’s Common Stock, determined by giving effect of the Exchange Ratio of 0.9141.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the Merger was accounted for as a reverse recapitalization whereby Legacy Zapata was treated as the accounting acquirer and AAC was treated as the acquired company. This determination was primarily based on the following factors: (i) Legacy Zapata’s existing stockholders had the majority of the voting interest in the combined entity with an approximate 63% voting interest; (ii) the combined company’s board of directors consisted of seven 7 board members with one 1 board member designated by AAC, and each of the remaining six 6 board members were members of the board of directors of Legacy Zapata and one 1 additional independent board member; (iii) Legacy Zapata’s senior management comprised all the senior management of the combined company; and (iv) Legacy Zapata’s existing operations comprised the ongoing operations of the combined company. In accordance with guidance applicable to these circumstances, the Merger was treated as the equivalent of Legacy Zapata issuing stock for the net assets of AAC, accompanied by a recapitalization. The net assets of AAC were stated at historical cost, with no goodwill or other intangible assets recorded. Operations prior to the Merger were those of Legacy Zapata.</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in connection with the consummation of the Merger, the Company’s Common Stock was listed on the Nasdaq Global Market, and the Public Warrants and the Private Placement Warrants were listed on the Nasdaq Capital Market, under the new trading symbols “ZPTA” and “ZPTAW,” respectively. Costs paid by the Company directly attributable to the Merger were $7,058 and were treated as issuance costs and netted against additional paid-in-capital in the consolidated balance sheet of the Company. Additionally, upon the consummation of the Merger, the holders of certain outstanding Senior Secured Notes elected to convert the principal of their notes and accrued interest thereon in an aggregate amount of $14,660 into 3,257,876 shares of the Company’s Common Stock (856,202 shares to related parties) in accordance with their terms, at a conversion price of $4.50 per share. Aggregate principal and accrued interest of $1,273 on the Senior Secured Notes remains outstanding as of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F-26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Consideration</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elements of the Merger to the consolidated statement of cash flows and the consolidated statement of changes in equity. Upon the Closing of the Merger, the Company assumed liabilities of $8,159 from AAC, which was comprised of $223 of accounts payable, $1,987 of accrued expenses and other current liabilities, $2,619 of note payable – related party, and $3,330 of deferred legal fees.</w:t>
      </w:r>
    </w:p>
    <w:tbl>
      <w:tblPr>
        <w:tblW w:w="10205" w:type="dxa"/>
        <w:jc w:val="left"/>
        <w:tblInd w:w="0" w:type="dxa"/>
        <w:tblLayout w:type="fixed"/>
        <w:tblCellMar>
          <w:top w:w="0" w:type="dxa"/>
          <w:left w:w="0" w:type="dxa"/>
          <w:bottom w:w="0" w:type="dxa"/>
          <w:right w:w="0" w:type="dxa"/>
        </w:tblCellMar>
      </w:tblPr>
      <w:tblGrid>
        <w:gridCol w:w="8880"/>
        <w:gridCol w:w="60"/>
        <w:gridCol w:w="196"/>
        <w:gridCol w:w="957"/>
        <w:gridCol w:w="112"/>
      </w:tblGrid>
      <w:tr>
        <w:trPr/>
        <w:tc>
          <w:tcPr>
            <w:tcW w:w="8880" w:type="dxa"/>
            <w:tcBorders/>
            <w:shd w:fill="FFFFFF" w:val="clear"/>
            <w:vAlign w:val="center"/>
          </w:tcPr>
          <w:p>
            <w:pPr>
              <w:pStyle w:val="TableContents"/>
              <w:bidi w:val="0"/>
              <w:spacing w:before="0" w:after="283"/>
              <w:jc w:val="left"/>
              <w:rPr/>
            </w:pPr>
            <w:r>
              <w:rPr/>
              <w:t>Schedule of the number of shares of company common stock outstanding in the account of merger</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28, 2024</w:t>
            </w:r>
          </w:p>
        </w:tc>
        <w:tc>
          <w:tcPr>
            <w:tcW w:w="112" w:type="dxa"/>
            <w:tcBorders/>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Cash - AAC Trust (net of redemptions)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20,283</w:t>
            </w:r>
          </w:p>
        </w:tc>
        <w:tc>
          <w:tcPr>
            <w:tcW w:w="112" w:type="dxa"/>
            <w:tcBorders/>
            <w:shd w:fill="CCEEFF" w:val="clear"/>
            <w:vAlign w:val="center"/>
          </w:tcPr>
          <w:p>
            <w:pPr>
              <w:pStyle w:val="TableContents"/>
              <w:bidi w:val="0"/>
              <w:spacing w:before="0" w:after="283"/>
              <w:jc w:val="left"/>
              <w:rPr/>
            </w:pPr>
            <w:r>
              <w:rPr/>
              <w:t> </w:t>
            </w:r>
          </w:p>
        </w:tc>
      </w:tr>
      <w:tr>
        <w:trPr/>
        <w:tc>
          <w:tcPr>
            <w:tcW w:w="8880" w:type="dxa"/>
            <w:tcBorders/>
            <w:shd w:fill="FFFFFF" w:val="clear"/>
            <w:vAlign w:val="center"/>
          </w:tcPr>
          <w:p>
            <w:pPr>
              <w:pStyle w:val="TableContents"/>
              <w:bidi w:val="0"/>
              <w:spacing w:before="0" w:after="283"/>
              <w:jc w:val="left"/>
              <w:rPr/>
            </w:pPr>
            <w:r>
              <w:rPr/>
              <w:t>Less: AAC costs paid at Closing</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(7,317</w:t>
            </w:r>
          </w:p>
        </w:tc>
        <w:tc>
          <w:tcPr>
            <w:tcW w:w="112" w:type="dxa"/>
            <w:tcBorders/>
            <w:shd w:fill="FFFFFF" w:val="clear"/>
            <w:vAlign w:val="center"/>
          </w:tcPr>
          <w:p>
            <w:pPr>
              <w:pStyle w:val="TableContents"/>
              <w:bidi w:val="0"/>
              <w:spacing w:before="0" w:after="283"/>
              <w:jc w:val="left"/>
              <w:rPr/>
            </w:pPr>
            <w:r>
              <w:rPr/>
              <w:t>)</w:t>
            </w:r>
          </w:p>
        </w:tc>
      </w:tr>
      <w:tr>
        <w:trPr/>
        <w:tc>
          <w:tcPr>
            <w:tcW w:w="8880" w:type="dxa"/>
            <w:tcBorders/>
            <w:shd w:fill="CCEEFF" w:val="clear"/>
            <w:vAlign w:val="center"/>
          </w:tcPr>
          <w:p>
            <w:pPr>
              <w:pStyle w:val="TableContents"/>
              <w:bidi w:val="0"/>
              <w:spacing w:before="0" w:after="283"/>
              <w:jc w:val="left"/>
              <w:rPr/>
            </w:pPr>
            <w:r>
              <w:rPr/>
              <w:t>Less: Notes payable - related party paid at Closing</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2" w:type="dxa"/>
            <w:tcBorders/>
            <w:shd w:fill="CCEEFF" w:val="clear"/>
            <w:vAlign w:val="center"/>
          </w:tcPr>
          <w:p>
            <w:pPr>
              <w:pStyle w:val="TableContents"/>
              <w:bidi w:val="0"/>
              <w:spacing w:before="0" w:after="283"/>
              <w:jc w:val="left"/>
              <w:rPr/>
            </w:pPr>
            <w:r>
              <w:rPr/>
              <w:t>)</w:t>
            </w:r>
          </w:p>
        </w:tc>
      </w:tr>
      <w:tr>
        <w:trPr/>
        <w:tc>
          <w:tcPr>
            <w:tcW w:w="8880" w:type="dxa"/>
            <w:tcBorders/>
            <w:shd w:fill="FFFFFF" w:val="clear"/>
            <w:vAlign w:val="center"/>
          </w:tcPr>
          <w:p>
            <w:pPr>
              <w:pStyle w:val="TableContents"/>
              <w:bidi w:val="0"/>
              <w:spacing w:before="0" w:after="283"/>
              <w:jc w:val="left"/>
              <w:rPr/>
            </w:pPr>
            <w:r>
              <w:rPr/>
              <w:t>Net proceeds from the Merger</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12,636</w:t>
            </w:r>
          </w:p>
        </w:tc>
        <w:tc>
          <w:tcPr>
            <w:tcW w:w="112" w:type="dxa"/>
            <w:tcBorders/>
            <w:shd w:fill="FFFFFF" w:val="clear"/>
            <w:vAlign w:val="center"/>
          </w:tcPr>
          <w:p>
            <w:pPr>
              <w:pStyle w:val="TableContents"/>
              <w:bidi w:val="0"/>
              <w:spacing w:before="0" w:after="283"/>
              <w:jc w:val="left"/>
              <w:rPr/>
            </w:pPr>
            <w:r>
              <w:rPr/>
              <w:t> </w:t>
            </w:r>
          </w:p>
        </w:tc>
      </w:tr>
      <w:tr>
        <w:trPr/>
        <w:tc>
          <w:tcPr>
            <w:tcW w:w="8880" w:type="dxa"/>
            <w:tcBorders/>
            <w:shd w:fill="CCEEFF" w:val="clear"/>
            <w:vAlign w:val="center"/>
          </w:tcPr>
          <w:p>
            <w:pPr>
              <w:pStyle w:val="TableContents"/>
              <w:bidi w:val="0"/>
              <w:spacing w:before="0" w:after="283"/>
              <w:jc w:val="left"/>
              <w:rPr/>
            </w:pPr>
            <w:r>
              <w:rPr/>
              <w:t>Less: Liabilities obtained from AAC</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pPr>
            <w:r>
              <w:rPr/>
              <w:t>(8,159</w:t>
            </w:r>
          </w:p>
        </w:tc>
        <w:tc>
          <w:tcPr>
            <w:tcW w:w="112" w:type="dxa"/>
            <w:tcBorders/>
            <w:shd w:fill="CCEEFF" w:val="clear"/>
            <w:vAlign w:val="center"/>
          </w:tcPr>
          <w:p>
            <w:pPr>
              <w:pStyle w:val="TableContents"/>
              <w:bidi w:val="0"/>
              <w:spacing w:before="0" w:after="283"/>
              <w:jc w:val="left"/>
              <w:rPr/>
            </w:pPr>
            <w:r>
              <w:rPr/>
              <w:t>)</w:t>
            </w:r>
          </w:p>
        </w:tc>
      </w:tr>
      <w:tr>
        <w:trPr/>
        <w:tc>
          <w:tcPr>
            <w:tcW w:w="8880" w:type="dxa"/>
            <w:tcBorders/>
            <w:shd w:fill="FFFFFF" w:val="clear"/>
            <w:vAlign w:val="center"/>
          </w:tcPr>
          <w:p>
            <w:pPr>
              <w:pStyle w:val="TableContents"/>
              <w:bidi w:val="0"/>
              <w:spacing w:before="0" w:after="283"/>
              <w:jc w:val="left"/>
              <w:rPr/>
            </w:pPr>
            <w:r>
              <w:rPr/>
              <w:t>Merger consideration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jc w:val="right"/>
              <w:rPr/>
            </w:pPr>
            <w:r>
              <w:rPr/>
              <w:t>4,477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Company’s Common Stock outstanding immediately following the consummation of the Merger was as follows: </w:t>
      </w:r>
    </w:p>
    <w:tbl>
      <w:tblPr>
        <w:tblW w:w="9115" w:type="dxa"/>
        <w:jc w:val="left"/>
        <w:tblInd w:w="0" w:type="dxa"/>
        <w:tblLayout w:type="fixed"/>
        <w:tblCellMar>
          <w:top w:w="0" w:type="dxa"/>
          <w:left w:w="0" w:type="dxa"/>
          <w:bottom w:w="0" w:type="dxa"/>
          <w:right w:w="0" w:type="dxa"/>
        </w:tblCellMar>
      </w:tblPr>
      <w:tblGrid>
        <w:gridCol w:w="7970"/>
        <w:gridCol w:w="60"/>
        <w:gridCol w:w="60"/>
        <w:gridCol w:w="950"/>
        <w:gridCol w:w="75"/>
      </w:tblGrid>
      <w:tr>
        <w:trPr/>
        <w:tc>
          <w:tcPr>
            <w:tcW w:w="7970" w:type="dxa"/>
            <w:tcBorders/>
            <w:vAlign w:val="center"/>
          </w:tcPr>
          <w:p>
            <w:pPr>
              <w:pStyle w:val="TableContents"/>
              <w:bidi w:val="0"/>
              <w:spacing w:before="0" w:after="283"/>
              <w:jc w:val="left"/>
              <w:rPr>
                <w:sz w:val="20"/>
              </w:rPr>
            </w:pPr>
            <w:r>
              <w:rPr>
                <w:sz w:val="20"/>
              </w:rPr>
              <w:t>Schedule of the number of shares of company common stock outstanding in the account of merger</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w:t>
              <w:br/>
              <w:t>Ownership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Zapata equity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17,696,425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AAC public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1,846,206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AAC Sponsor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 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Shares issued pursuant to the Forward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markets advisors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of Common Stock immediately after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29,092,879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Revenue From Contracts With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from contracts with customers was generated in the U.S. during the year ended December 31, 2024. No revenue was recognized during the year ended December 31, 2025 due to the Operational Cessation (Note 1) in the fourth quarter of 2024. Revenue from contracts with customers recognized for the year ended December 31, 2025 and 2024 consists of the following: </w:t>
      </w:r>
    </w:p>
    <w:tbl>
      <w:tblPr>
        <w:tblW w:w="6187" w:type="dxa"/>
        <w:jc w:val="left"/>
        <w:tblInd w:w="0" w:type="dxa"/>
        <w:tblLayout w:type="fixed"/>
        <w:tblCellMar>
          <w:top w:w="0" w:type="dxa"/>
          <w:left w:w="0" w:type="dxa"/>
          <w:bottom w:w="0" w:type="dxa"/>
          <w:right w:w="0" w:type="dxa"/>
        </w:tblCellMar>
      </w:tblPr>
      <w:tblGrid>
        <w:gridCol w:w="4145"/>
        <w:gridCol w:w="60"/>
        <w:gridCol w:w="214"/>
        <w:gridCol w:w="445"/>
        <w:gridCol w:w="102"/>
        <w:gridCol w:w="102"/>
        <w:gridCol w:w="214"/>
        <w:gridCol w:w="830"/>
        <w:gridCol w:w="75"/>
      </w:tblGrid>
      <w:tr>
        <w:trPr/>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of revenue from contracts with customers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balances resulting from contracts with customers include the following: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 Acquisition Costs—</w:t>
      </w:r>
      <w:r>
        <w:rPr>
          <w:rFonts w:ascii="Times New Roman;Times;Serif" w:hAnsi="Times New Roman;Times;Serif"/>
          <w:b w:val="false"/>
          <w:i w:val="false"/>
          <w:caps w:val="false"/>
          <w:smallCaps w:val="false"/>
          <w:sz w:val="20"/>
        </w:rPr>
        <w:t xml:space="preserve"> No deferred transaction costs were recorded as of December 31, 2025 and 2024. There was $0 and $10 of amortization of contract acquisition costs recognized in the consolidated statements of operations and comprehensive income (loss) for the year ended December 31, 2025 and 2024,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As of December 31, 2025 and December 31, 2024, there were accounts receivable due from related parties amounting to $0 and $1,567, respectively. As of December 31, 2025 and 2024, the Company had zero 0 allowance for credit losses.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Liabilities</w:t>
      </w:r>
      <w:r>
        <w:rPr>
          <w:rFonts w:ascii="Times New Roman;Times;Serif" w:hAnsi="Times New Roman;Times;Serif"/>
          <w:b w:val="false"/>
          <w:i w:val="false"/>
          <w:caps w:val="false"/>
          <w:smallCaps w:val="false"/>
          <w:sz w:val="20"/>
        </w:rPr>
        <w:t>— Balances due to customers of $406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F-27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Fair Value Measurements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w:t>
      </w:r>
    </w:p>
    <w:tbl>
      <w:tblPr>
        <w:tblW w:w="8784" w:type="dxa"/>
        <w:jc w:val="left"/>
        <w:tblInd w:w="0" w:type="dxa"/>
        <w:tblLayout w:type="fixed"/>
        <w:tblCellMar>
          <w:top w:w="0" w:type="dxa"/>
          <w:left w:w="0" w:type="dxa"/>
          <w:bottom w:w="0" w:type="dxa"/>
          <w:right w:w="0" w:type="dxa"/>
        </w:tblCellMar>
      </w:tblPr>
      <w:tblGrid>
        <w:gridCol w:w="5015"/>
        <w:gridCol w:w="60"/>
        <w:gridCol w:w="125"/>
        <w:gridCol w:w="689"/>
        <w:gridCol w:w="75"/>
        <w:gridCol w:w="75"/>
        <w:gridCol w:w="158"/>
        <w:gridCol w:w="689"/>
        <w:gridCol w:w="75"/>
        <w:gridCol w:w="75"/>
        <w:gridCol w:w="158"/>
        <w:gridCol w:w="689"/>
        <w:gridCol w:w="75"/>
        <w:gridCol w:w="75"/>
        <w:gridCol w:w="158"/>
        <w:gridCol w:w="518"/>
        <w:gridCol w:w="75"/>
      </w:tblGrid>
      <w:tr>
        <w:trPr/>
        <w:tc>
          <w:tcPr>
            <w:tcW w:w="5015" w:type="dxa"/>
            <w:tcBorders/>
            <w:shd w:fill="FFFFFF" w:val="clear"/>
            <w:vAlign w:val="center"/>
          </w:tcPr>
          <w:p>
            <w:pPr>
              <w:pStyle w:val="TableContents"/>
              <w:bidi w:val="0"/>
              <w:spacing w:before="0" w:after="283"/>
              <w:jc w:val="left"/>
              <w:rPr/>
            </w:pPr>
            <w:r>
              <w:rPr/>
              <w:t> </w:t>
            </w:r>
            <w:r>
              <w:rPr>
                <w:sz w:val="20"/>
              </w:rPr>
              <w:t>Summary of assets measured at fair value on a recurring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3509"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Fair Value Measurements at December 31, 2025</w:t>
            </w:r>
          </w:p>
        </w:tc>
        <w:tc>
          <w:tcPr>
            <w:tcW w:w="75" w:type="dxa"/>
            <w:tcBorders/>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Level 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Level 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Level 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sz w:val="20"/>
              </w:rPr>
            </w:pPr>
            <w:r>
              <w:rPr>
                <w:sz w:val="20"/>
              </w:rPr>
              <w:t>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sz w:val="20"/>
              </w:rPr>
            </w:pPr>
            <w:r>
              <w:rPr>
                <w:sz w:val="20"/>
              </w:rPr>
              <w:t>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sz w:val="20"/>
              </w:rPr>
            </w:pPr>
            <w:r>
              <w:rPr>
                <w:sz w:val="20"/>
              </w:rPr>
              <w:t>Money market mutual funds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71" w:type="dxa"/>
        <w:jc w:val="left"/>
        <w:tblInd w:w="0" w:type="dxa"/>
        <w:tblLayout w:type="fixed"/>
        <w:tblCellMar>
          <w:top w:w="0" w:type="dxa"/>
          <w:left w:w="0" w:type="dxa"/>
          <w:bottom w:w="0" w:type="dxa"/>
          <w:right w:w="0" w:type="dxa"/>
        </w:tblCellMar>
      </w:tblPr>
      <w:tblGrid>
        <w:gridCol w:w="2330"/>
        <w:gridCol w:w="60"/>
        <w:gridCol w:w="238"/>
        <w:gridCol w:w="439"/>
        <w:gridCol w:w="114"/>
        <w:gridCol w:w="114"/>
        <w:gridCol w:w="238"/>
        <w:gridCol w:w="496"/>
        <w:gridCol w:w="114"/>
        <w:gridCol w:w="114"/>
        <w:gridCol w:w="238"/>
        <w:gridCol w:w="496"/>
        <w:gridCol w:w="114"/>
        <w:gridCol w:w="114"/>
        <w:gridCol w:w="238"/>
        <w:gridCol w:w="439"/>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6"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Fair Value Measurements at December 31, 2024</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1</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2</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3</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sz w:val="20"/>
              </w:rPr>
            </w:pPr>
            <w:r>
              <w:rPr>
                <w:sz w:val="20"/>
              </w:rPr>
              <w:t>Assets:</w:t>
            </w:r>
          </w:p>
        </w:tc>
        <w:tc>
          <w:tcPr>
            <w:tcW w:w="60"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7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sz w:val="20"/>
              </w:rPr>
            </w:pPr>
            <w:r>
              <w:rPr>
                <w:sz w:val="20"/>
              </w:rPr>
              <w:t>Cash equivalents: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sz w:val="20"/>
              </w:rPr>
            </w:pPr>
            <w:r>
              <w:rPr>
                <w:sz w:val="20"/>
              </w:rPr>
              <w:t>Money market mutual funds</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equivalents maintained in money market funds are based on quoted market prices in active markets, which represent a Level 1 measurement within the fair value hierarchy. The carrying values of the Company’s accounts receivable, prepaid expenses and other current assets, accounts payable, accrued expenses and other current liabilities, the note payable – related party, deferred revenue, deferred legal fees and the obligation to issue Common Stock approximate their fair values due to the short-term nature of these instruments. The Forward Purchase Agreement derivative liability is carried at fair value, determined according to Level 3 inputs in the fair value hierarchy (Note 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there were no transfers between Level 1, Level 2 and Level 3.</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Accrued Expenses and Other Current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tbl>
      <w:tblPr>
        <w:tblW w:w="7034" w:type="dxa"/>
        <w:jc w:val="left"/>
        <w:tblInd w:w="0" w:type="dxa"/>
        <w:tblLayout w:type="fixed"/>
        <w:tblCellMar>
          <w:top w:w="0" w:type="dxa"/>
          <w:left w:w="0" w:type="dxa"/>
          <w:bottom w:w="0" w:type="dxa"/>
          <w:right w:w="0" w:type="dxa"/>
        </w:tblCellMar>
      </w:tblPr>
      <w:tblGrid>
        <w:gridCol w:w="4760"/>
        <w:gridCol w:w="60"/>
        <w:gridCol w:w="206"/>
        <w:gridCol w:w="803"/>
        <w:gridCol w:w="60"/>
        <w:gridCol w:w="60"/>
        <w:gridCol w:w="206"/>
        <w:gridCol w:w="804"/>
        <w:gridCol w:w="75"/>
      </w:tblGrid>
      <w:tr>
        <w:trPr/>
        <w:tc>
          <w:tcPr>
            <w:tcW w:w="4760" w:type="dxa"/>
            <w:tcBorders/>
            <w:vAlign w:val="center"/>
          </w:tcPr>
          <w:p>
            <w:pPr>
              <w:pStyle w:val="TableContents"/>
              <w:bidi w:val="0"/>
              <w:spacing w:before="0" w:after="283"/>
              <w:jc w:val="left"/>
              <w:rPr/>
            </w:pPr>
            <w:r>
              <w:rPr/>
              <w:t> </w:t>
            </w:r>
            <w:r>
              <w:rPr>
                <w:sz w:val="20"/>
              </w:rPr>
              <w:t>Schedule of accrued expenses and other current liabilities</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December 31,</w:t>
              <w:br/>
              <w:t>2024</w:t>
            </w:r>
          </w:p>
        </w:tc>
        <w:tc>
          <w:tcPr>
            <w:tcW w:w="7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employee compensation and benefit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Refunds payable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color w:val="CCEEFF"/>
              </w:rPr>
            </w:pPr>
            <w:r>
              <w:rPr>
                <w:color w:val="CCEEFF"/>
              </w:rPr>
              <w:t> </w:t>
            </w:r>
            <w:r>
              <w:rPr>
                <w:rFonts w:ascii="Times New Roman;Times;Serif" w:hAnsi="Times New Roman;Times;Serif"/>
                <w:color w:val="CCEEF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Refund Payable—</w:t>
      </w:r>
      <w:r>
        <w:rPr>
          <w:rFonts w:ascii="Times New Roman;Times;Serif" w:hAnsi="Times New Roman;Times;Serif"/>
          <w:b w:val="false"/>
          <w:i w:val="false"/>
          <w:caps w:val="false"/>
          <w:smallCaps w:val="false"/>
          <w:sz w:val="20"/>
        </w:rPr>
        <w:t>The third party purchased a one-year subscription to the Company’s Orquestra Enterprise Solution on June 27, 2024, and prepaid $1,000 fee. Following the Company’s Operational Cessation (Note 1) and early termination of the subscription, the third party is entitled to a prorated refund of $750 for services it will no longer receive.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F-28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7. Forward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the Company entered into a forward purchase agreement with Sandia. The Forward Purchase Agreement contains (i) an Optional Early Termination provision, which is considered an in-substance put option (the “Optional Early Termination”) and (ii) a Variable Maturity Consideration which is the amount of the Settlement Amount Adjustment in excess of the Settlement Amount (the “Variable Maturity Consideration”). The Optional Early Termination and the Variable Maturity Consideration, as combined, are considered a freestanding financial instrument as the Optional Early Termination and the Variable Maturity Consideration cannot be legally detachable and separately exercisable from each other and together, meet the definition of a derivative instrument. Pursuant to the Forward Purchase Agreement, the Seller has the option to early terminate the arrangement in whole or in part by providing written notice to the Company, and the Seller will pay the Company an amount equal to the product of the number of shares that are early terminated and the reset price then in effect. If the Seller exercises an Optional Early Termination, then the Settlement Amount and the Settlement Amount Adjustment to be paid at the Valuation Date will be reduced in proportion to the number of shares subject to the Optional Early Termination. Additionally, the Company may be obligated to pay consideration to the Seller in cash or, under certain circumstances, in shares of the Company’s Common Stock, if the Settlement Amount Adjustment exceeds the Settlement Amount.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 Purchase Agreement provided that the settlement with respect to the shares held by Sandia will be determined as of the Valuation Date, defined as the earliest to occur of March 28, 2026, or certain other events that may, at the discretion of Sandia or the Company, accelerate the Valuation Date. Such events included a written notice from Sandia following a period in which the Company’s Common Stock has a volume-weighted average price (“VWAP”) below $1.00 per share for 20 trading days within any 30 consecutive trading-day period. As a result of the VWAP Trigger Event, Sandia obtained the right, but not the obligation, to accelerate the Valuation Date and thereby settle the Forward Purchase Agreement prior to March 28, 2026.</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the fair value of the derivative instrument of $4,935 as a liability on its consolidated balance sheets and measured it at fair value with the initial value of the derivative instrument recorded as a loss on issuance of forward purchase agreement derivative liability in the consolidated statements of operations and comprehensive income (loss). The forward purchase agreement derivative liability was subsequently remeasured to fair value at each reporting period, with changes in fair value recognized in the consolidated statements of operations and comprehensive income (loss)The fair value of the obligation to Sandia was determined to be $2,436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the VWAP Trigger Event, which was met when the Company’s Common Stock traded below $1.00 per share for 20 trading days within any 30 consecutive trading-day period, Sandia exercised its right to accelerate the Valuation Date to October 8, 2024. On October 8, 2024, the Company received notice from Sandia accelerating the Valuation Date to October 8, 2024. Upon acceleration, the Company became obligated to pay to Sandia an amount in cash equal to the Settlement Amount Adjustment, less any Settlement Amount owed to the Company by Sandia. The Settlement Amount Adjustment was calculated as 1,250,000 shares multiplied by $2.00, or $2,500, and the Settlement Amount was calculated as 1,250,000 shares less 500,000 Unregistered Shares multiplied by the volume weighted daily VWAP Price of $0.0085 per share, or $64. Accordingly, the Company became obligated to pay Sandia an amount in cash or shares equal to $2,436.</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the Conversion Agreement with Sandia. Pursuant to the Conversion Agreement the Company settled its obligation under the Forward Purchase Agreement by issuing 6,591,000 shares of the Company’s Common Stock with a fair value of $79 to Sandia. The Company and Sandia also entered into Universal Resale and Registration Provisions, which include lock-up restrictions limiting the sale, transfer, pledge, or other disposition of the common shares issued. As a result of the conversion, the Company derecognized $2,436 of forward purchase agreement settlement obligation, recorded the issuance of 6,591,000 shares of Common Stock, and recognized a gain on extinguishment of liabilities of $2,357.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F-29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significant inputs used in calculating the forward purchase agreement derivative liability on the issuance date:</w:t>
      </w:r>
    </w:p>
    <w:tbl>
      <w:tblPr>
        <w:tblW w:w="6314" w:type="dxa"/>
        <w:jc w:val="left"/>
        <w:tblInd w:w="0" w:type="dxa"/>
        <w:tblLayout w:type="fixed"/>
        <w:tblCellMar>
          <w:top w:w="0" w:type="dxa"/>
          <w:left w:w="0" w:type="dxa"/>
          <w:bottom w:w="0" w:type="dxa"/>
          <w:right w:w="0" w:type="dxa"/>
        </w:tblCellMar>
      </w:tblPr>
      <w:tblGrid>
        <w:gridCol w:w="4880"/>
        <w:gridCol w:w="60"/>
        <w:gridCol w:w="240"/>
        <w:gridCol w:w="934"/>
        <w:gridCol w:w="200"/>
      </w:tblGrid>
      <w:tr>
        <w:trPr/>
        <w:tc>
          <w:tcPr>
            <w:tcW w:w="4880" w:type="dxa"/>
            <w:tcBorders/>
            <w:vAlign w:val="center"/>
          </w:tcPr>
          <w:p>
            <w:pPr>
              <w:pStyle w:val="TableContents"/>
              <w:bidi w:val="0"/>
              <w:spacing w:before="0" w:after="283"/>
              <w:jc w:val="left"/>
              <w:rPr>
                <w:sz w:val="20"/>
              </w:rPr>
            </w:pPr>
            <w:r>
              <w:rPr>
                <w:sz w:val="20"/>
              </w:rPr>
              <w:t>Schedule of forward purchase agreement derivative liability</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28, 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determined the initial value for the forward purchase agreement derivative liability of $4,935 using the Level 3 inputs as of the issuance date on March 28, 2024 and recorded the loss on issuance of $4,935 as a loss on issuance of forward purchase agreement derivative liability in the consolidated statements of operations and comprehensive loss. The change in fair value of the forward purchase agreement derivative liability of $2,499 was recorded during the year ended December 31, 2024 in the consolidated statements of operations and comprehensive loss.</w:t>
      </w:r>
      <w:r>
        <w:rPr>
          <w:rFonts w:ascii="Times New Roman;Times;Serif" w:hAnsi="Times New Roman;Times;Serif"/>
          <w:b w:val="false"/>
          <w:i w:val="false"/>
          <w:caps w:val="false"/>
          <w:smallCaps w:val="false"/>
          <w:sz w:val="24"/>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 in fair value of the forward purchase agreement derivative liability for the years ended December 31, 2025 and 2024: </w:t>
      </w:r>
    </w:p>
    <w:tbl>
      <w:tblPr>
        <w:tblW w:w="7415" w:type="dxa"/>
        <w:jc w:val="left"/>
        <w:tblInd w:w="0" w:type="dxa"/>
        <w:tblLayout w:type="fixed"/>
        <w:tblCellMar>
          <w:top w:w="0" w:type="dxa"/>
          <w:left w:w="0" w:type="dxa"/>
          <w:bottom w:w="0" w:type="dxa"/>
          <w:right w:w="0" w:type="dxa"/>
        </w:tblCellMar>
      </w:tblPr>
      <w:tblGrid>
        <w:gridCol w:w="5780"/>
        <w:gridCol w:w="60"/>
        <w:gridCol w:w="125"/>
        <w:gridCol w:w="545"/>
        <w:gridCol w:w="80"/>
        <w:gridCol w:w="60"/>
        <w:gridCol w:w="125"/>
        <w:gridCol w:w="545"/>
        <w:gridCol w:w="95"/>
      </w:tblGrid>
      <w:tr>
        <w:trPr/>
        <w:tc>
          <w:tcPr>
            <w:tcW w:w="5780" w:type="dxa"/>
            <w:tcBorders/>
            <w:vAlign w:val="center"/>
          </w:tcPr>
          <w:p>
            <w:pPr>
              <w:pStyle w:val="TableContents"/>
              <w:bidi w:val="0"/>
              <w:spacing w:before="0" w:after="283"/>
              <w:jc w:val="center"/>
              <w:rPr>
                <w:sz w:val="20"/>
              </w:rPr>
            </w:pPr>
            <w:r>
              <w:rPr>
                <w:sz w:val="20"/>
              </w:rPr>
              <w:t>Schedule of fair value of the forward purchase agreement</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purchase agreement derivative liability issuance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forward purchase agreement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outstanding as of December 31, 2025 and 2024 consisted of the following:</w:t>
      </w:r>
    </w:p>
    <w:tbl>
      <w:tblPr>
        <w:tblW w:w="7484" w:type="dxa"/>
        <w:jc w:val="left"/>
        <w:tblInd w:w="0" w:type="dxa"/>
        <w:tblLayout w:type="fixed"/>
        <w:tblCellMar>
          <w:top w:w="0" w:type="dxa"/>
          <w:left w:w="0" w:type="dxa"/>
          <w:bottom w:w="0" w:type="dxa"/>
          <w:right w:w="0" w:type="dxa"/>
        </w:tblCellMar>
      </w:tblPr>
      <w:tblGrid>
        <w:gridCol w:w="5210"/>
        <w:gridCol w:w="60"/>
        <w:gridCol w:w="206"/>
        <w:gridCol w:w="803"/>
        <w:gridCol w:w="60"/>
        <w:gridCol w:w="60"/>
        <w:gridCol w:w="206"/>
        <w:gridCol w:w="804"/>
        <w:gridCol w:w="75"/>
      </w:tblGrid>
      <w:tr>
        <w:trPr/>
        <w:tc>
          <w:tcPr>
            <w:tcW w:w="5210" w:type="dxa"/>
            <w:tcBorders/>
            <w:vAlign w:val="center"/>
          </w:tcPr>
          <w:p>
            <w:pPr>
              <w:pStyle w:val="TableContents"/>
              <w:bidi w:val="0"/>
              <w:spacing w:before="0" w:after="283"/>
              <w:jc w:val="left"/>
              <w:rPr>
                <w:sz w:val="20"/>
              </w:rPr>
            </w:pPr>
            <w:r>
              <w:rPr>
                <w:sz w:val="20"/>
              </w:rPr>
              <w:t>Schedule of the aggregate principal amount of debt outstanding</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Total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non-current debt obligations reflected in the consolidated balance sheets as of December 31, 2025 and December 31, 2024 consisted of the following: </w:t>
      </w:r>
    </w:p>
    <w:tbl>
      <w:tblPr>
        <w:tblW w:w="10205" w:type="dxa"/>
        <w:jc w:val="left"/>
        <w:tblInd w:w="0" w:type="dxa"/>
        <w:tblLayout w:type="fixed"/>
        <w:tblCellMar>
          <w:top w:w="0" w:type="dxa"/>
          <w:left w:w="0" w:type="dxa"/>
          <w:bottom w:w="0" w:type="dxa"/>
          <w:right w:w="0" w:type="dxa"/>
        </w:tblCellMar>
      </w:tblPr>
      <w:tblGrid>
        <w:gridCol w:w="7960"/>
        <w:gridCol w:w="60"/>
        <w:gridCol w:w="200"/>
        <w:gridCol w:w="779"/>
        <w:gridCol w:w="60"/>
        <w:gridCol w:w="60"/>
        <w:gridCol w:w="206"/>
        <w:gridCol w:w="804"/>
        <w:gridCol w:w="76"/>
      </w:tblGrid>
      <w:tr>
        <w:trPr/>
        <w:tc>
          <w:tcPr>
            <w:tcW w:w="7960" w:type="dxa"/>
            <w:tcBorders/>
            <w:vAlign w:val="center"/>
          </w:tcPr>
          <w:p>
            <w:pPr>
              <w:pStyle w:val="TableContents"/>
              <w:bidi w:val="0"/>
              <w:spacing w:before="0" w:after="283"/>
              <w:jc w:val="left"/>
              <w:rPr>
                <w:sz w:val="20"/>
              </w:rPr>
            </w:pPr>
            <w:r>
              <w:rPr>
                <w:sz w:val="20"/>
              </w:rPr>
              <w:t>Schedule of current and non current debt obligations reflected in the condensed consolidated balance sheets</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2024</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2,549</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F-30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Secured Notes </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Legacy Zapata had an outstanding balance of Senior Secured Notes of $8,900, which was netted with $158 of unamortized debt issuance costs. From January 2024 through March 2024, Legacy Zapata issued $7,150 in additional aggregate principal amount of Senior Secured Notes, which includes certain Senior Secured Notes with an aggregate principal amount of $1,150 that were issued to third party advisors in lieu of cash payment for services rendered to Legacy Zapata related to the Merger (Note 3). The Senior Secured Notes issued from January 2024 to March 2024 totaling $6,150 were issued at a substantial premium. Accordingly, the Company accounted for the issuance of these Senior Secured Notes under the amortized cost model, which is the principal plus accrued interest. The remaining Senior Secured Note issued to a third-party advisor totaling $1,000 is carried at redemption value, which is the principal plus accrued interest. The Company issued a Senior Secured Note to a third party for capital market advisory services that vested contingently with the Merger. Upon the satisfaction of the performance condition as described in the agreement, the Company accounted for the Senior Secured Note as a stock-based award granted to a non-employee and measured the award based on the fair value on the Merger date, with the liability portion of the award recorded as Senior Secured Notes at the redemption value, and the excess fair value recorded as a loss on issuance of convertible note within total other expense, net in the consolidated statements of operations and comprehensive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 portion of the aggregate outstanding the Senior Secured Notes converted into 3,257,876 shares of the Company’s Common Stock (856,202 shares to related parties). Upon the conversion of the Senior Secured Notes, the principal balance of the debt of $14,207 and associated accrued interest of $453 were converted, resulting in an increase in Common Stock and additional paid-in capital of $14,660. Certain holders of the Senior Secured Notes, holding $2,000 in aggregate principal, did not convert their Senior Secured Notes into shares of the Company’s Common Stock. The balance of the secured notes and accrued interest was $2,237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made a payment of $1,342 to settle one of Senior Secured Notes, which had an original principal amount of $1,000 and accrued interest of $209. In connection with the repayment, the Company recognized a loss on debt extinguishment of $134 during the year ended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one of the $1,000 Senior Secured was assigned from its original note holder to Sandia. The transfer did not modify the terms of the note or its accounting treatment. As of December 31, 2025 aggregate principal and accrued interest of $1,273 is due on the outstanding Senior Secured Note which matures December 15,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assignment of the note to Sandia, , the Company entered into a consent agreement (the “Consent Agreement”) with Sandia. Under the Consent Agreement, Sandia agreed to waive certain rights under its outstanding Senior Secured Note agreement, including default under the Senior Secured Note agreement arising from, or in connection with, the issuance of Convertible Promissory Notes described below, as well as any defaults existing as of the date of the Consent. In exchange for this waiver, the Company issued 34,000,000 shares of its Common Stock with a fair value of $10 to Sandia. In addition, the Company entered into an intercreditor agreement with the collateral agent and Sandia providing for the relative rights with respect to the secured obligations of the Company.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was accounted for as a modification of the Senior Secured Note. The fair value of the issued shares of $10 was reflected as a debt modification cost.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security purchase agreement with accredited investors pursuant to which the Company sold and issued secured convertible promissory notes (“Convertible Promissory Notes”) and warrants to purchase 37,500,000 shares of Common Stock (“Warrants”) for total gross proceeds of $3,000.</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F-31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may not be prepaid before the maturity date without the written consent of the holder and is secured pursuant to a Security Agreement entered into concurrently with the issuance.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are convertible into 75,000,000 shares of the Company’s Common Stock at the option of the holder at any time prior to repayment. The conversion price is $0.04 per share, subject to customary anti-dilution adjustments for stock splits, stock dividends, combinations, or recapitalizations (the “Conversion Price”). Upon conversion, any unpaid accrued interest is automatically forgiven.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balance under the Convertible Promissory Notes automatically convert into Common Stock upon the closing of a Qualified Financing with aggregate gross proceeds of at least $5,000,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Promissory Notes, the Company incurred debt issuance costs totaling $75. These costs were recorded as a reduction to the carrying value of the Convertible Promissory Notes and are amortized to interest expense over the one-year term using the effective interest method. The effective interest rate on the Convertible Note is 12.64%.</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approximately $168 of interest expense for the year ended December 31, 2025, which is included within interest expense in the consolidated statements of operations and comprehensive income (loss). Interest expense attributable to the amortization of debt issuance costs incurred with third-party financing arrangements was immaterial for the year ended December 31,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 Related Parties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finance transaction costs related to the Merger, the Sponsor and certain AAC officers and directors provided working capital loans (the “Notes Payable – Related Party”) prior to Closing. These notes were repayable at the Merger Closing without interest or, at AAC’s discretion, up to $1,500 could be converted into Private Placement Warrants at $1.00 per warrant.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Notes Payable – Related Party were amended to defer repayment of the outstanding principal and accrued interest of $2,619. The amended terms require repayment in monthly installments, beginning thirty days after the Lincoln Park Registration Statement became effective on April 18, 2024 (Note 11). No note holders elected to convert their loans into warrants at Closing. The notes bear interest at 4.5% per annum and are accounted for at amortized cost. The balance of the notes payable and accrued interest– related parties was $1,930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Conversion Agreements with the note holders of the Notes Payable – Related Party to settle all remaining outstanding debt obligations and accrued interest.. Pursuant to the Conversion Agreements, the Company settled its Notes Payable – Related Party by issuing 5,407,000 shares of the Company’s Common Stock with a fair value of $38 to the note holders to settle outstanding notes payable and accrued interest of $1,998. The excess of the carrying value of the notes payable and accrued interest converted in excess of the fair value of the shares issued of $1,960 was recorded as a capital contribution.</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conversion, the Company derecognized Notes Payable – Related Party of $1,998 and recorded the issuance of 5,407,000 shares of Common Stock. As of December 31, 2025, there was no remaining balance and no unamortized debt discount.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F-32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br/>
        <w:t>Forbearance Agreements</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6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accounts payable at December 31, 2024 were payables to service providers of $3,774. On October 22,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 million and $55 million, respectively, in aggregate proceeds. If the specified financing thresholds are not achieved, the corresponding contingent payments will not become due, and the related obligations will be permanently extinguished. The creditor has agreed to temporarily forbear from enforcing collection of the $1,887 that is currently recorded in accounts payable during the forbearance period.</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accounted for the $1,887 that is now contingently payable as an extinguishment of debt and has included this in other income due to management’s assessment that is more likely than not that the Company would not be able to reach the equity raising threshold that would require repayment of these amounts.</w:t>
        <w:b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Quantum Cloud Service Agreement</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 entered into an agreement with a third party under which the third party will host the Company’s quantum generative AI application on its cloud service and will provide support services for a period of 24 months. The Company has agreed to make payments in an aggregate amount equal to $2,063 to the third party over the agreement term as consideration for services rendered pursuant to the agreement, which will be due and payable from April 2024 to February 2027. On June 27, 2024, the agreement was amended to extend the services through November 2028, and the aggregate fees payable from the Company increased to $4,063 over the extended term. The cloud service agreement was effectively terminated in October 2024 in connection with the Company’s Operational Cessation (Note 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Advisory and Other Agreements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September 13, 2023, the Company entered into an agreement with a third party for advisory services. In March 2024, the payment terms were amended to provide for a fee of $1,250, to be paid by the issuance of a Senior Secured Note with a principal amount of $1,000 and the remaining $250 in six monthly installments in cash of $42 per month commencing on May 15, 2024. From May 2024 through September 2024 the Company paid $209 to the third party. The Company ceased making payments in the fourth quarter of 2024 due to the Operational Cessation (Note 1), and the remaining balance of 42 was subsequently converted into 113,000 shares of the Company’s Common Stock with a fair value of $14 in the second quarter of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2024, the Company entered into an engagement letter with an additional third party, as amended on February 27, 2024. The Company agreed to pay the third party a non-refundable cash fee of $1,800, payable by the Company in monthly payments of $113 over the Term (as defined in Note 3) with $300 of such payment waivable if the Company voluntarily prepays $1,500 to the third party prior to December 31, 2024. Upon the Closing of the Merger, the Company recognized $1,800 as transaction costs, which recorded as a reduction in additional paid-in capital. From May 2024 through September 2024 the Company paid $563 to the third party. The Company ceased making payments in the fourth quarter of 2024 due to the Operational Cessation (Note 1), and the remaining balance of $1,237 was subsequently converted into 3,349,000 shares of the Company’s Common Stock with a fair value of $40 in the second quarter of 2025.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Collaborative Research Agreement</w:t>
      </w:r>
      <w:r>
        <w:rPr>
          <w:rFonts w:ascii="Times New Roman;Times;Serif" w:hAnsi="Times New Roman;Times;Serif"/>
          <w:b w:val="false"/>
          <w:i w:val="false"/>
          <w:caps w:val="false"/>
          <w:smallCaps w:val="false"/>
          <w:sz w:val="20"/>
        </w:rPr>
        <w:t>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2024, the Company entered into a collaborative research agreement with a third party, pursuant to which the Company and the third party partnered to develop a quantum generative AI application and a hybrid solver over a three-month term. The Company led the development of the application. The third party also contributed $1,000 to the project in the form of a Senior Secured Note, which it did not elect to convert into the Company’s Common Stock upon the Closing of the Merger and which was repaid in June 2025. The collaborative research agreement was effectively terminated in October 2024 in connection with the Company’s Operational Cessation (Note 1).</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F-33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March 28, 2024, each holder of the Convertible Preferred Stock was converted into the right to receive 0.9141 shares of the Company’s Common Stock. The Company determined that the Merger constituted a deemed liquidation under its charter and, as such, the holders of the Convertible Preferred Stock were entitled to receive an amount per share equal to the greater of i) the applicable original issue price of the applicable series of the Convertible Preferred Stock, plus any dividends declared but unpaid thereon (the “Preference”), or ii) such amount per share as would have been payable had all shares of the Convertible Preferred Stock been converted into Common Stock immediately prior to the Merger (the “As Converted Amount”). Upon the Closing of the Merger, the Company determined that the As Converted Amount was greater than the Preference and converted 14,222,580 shares of Convertible Preferred Stock into 13,001,114 shares of the Company’s Common Stock. The Company’s capital amounts prior to the Merger have been retrospectively restated as shares reflecting the conversion ratio of 0.9141 established in the Merger. Following the Closing, the Company had no shares of Convertible Preferred Stock outstanding at December 31,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November 2025, the Company entered into securities purchase Agreements with accredited investors, pursuant to which the Company offered and sold 15,000 shares of the Company’s Series A Convertible Preferred Stock at a purchase price of $100 per share for total gross proceeds of $1,500. The Company incurred expenses totaling $64, resulting in net proceeds of $1,436.</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filed the Certificate of Designations of Preferences, Rights and Limitations (the “Certificate of Designations”) of the Series A with the Delaware Secretary of State, designating and authorizing the issuance of up to 15,000 shares of Series A Convertible Preferred Stock.</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authorized, issued, and outstanding Series A Convertible Preferred Stock and their principal were as follows:</w:t>
      </w:r>
    </w:p>
    <w:tbl>
      <w:tblPr>
        <w:tblW w:w="10082" w:type="dxa"/>
        <w:jc w:val="left"/>
        <w:tblInd w:w="0" w:type="dxa"/>
        <w:tblLayout w:type="fixed"/>
        <w:tblCellMar>
          <w:top w:w="0" w:type="dxa"/>
          <w:left w:w="0" w:type="dxa"/>
          <w:bottom w:w="0" w:type="dxa"/>
          <w:right w:w="0" w:type="dxa"/>
        </w:tblCellMar>
      </w:tblPr>
      <w:tblGrid>
        <w:gridCol w:w="3845"/>
        <w:gridCol w:w="60"/>
        <w:gridCol w:w="69"/>
        <w:gridCol w:w="685"/>
        <w:gridCol w:w="60"/>
        <w:gridCol w:w="60"/>
        <w:gridCol w:w="76"/>
        <w:gridCol w:w="754"/>
        <w:gridCol w:w="60"/>
        <w:gridCol w:w="60"/>
        <w:gridCol w:w="112"/>
        <w:gridCol w:w="1122"/>
        <w:gridCol w:w="60"/>
        <w:gridCol w:w="60"/>
        <w:gridCol w:w="142"/>
        <w:gridCol w:w="553"/>
        <w:gridCol w:w="60"/>
        <w:gridCol w:w="60"/>
        <w:gridCol w:w="279"/>
        <w:gridCol w:w="581"/>
        <w:gridCol w:w="60"/>
        <w:gridCol w:w="60"/>
        <w:gridCol w:w="67"/>
        <w:gridCol w:w="1062"/>
        <w:gridCol w:w="75"/>
      </w:tblGrid>
      <w:tr>
        <w:trPr/>
        <w:tc>
          <w:tcPr>
            <w:tcW w:w="3845" w:type="dxa"/>
            <w:tcBorders/>
            <w:vAlign w:val="center"/>
          </w:tcPr>
          <w:p>
            <w:pPr>
              <w:pStyle w:val="TableContents"/>
              <w:bidi w:val="0"/>
              <w:spacing w:before="0" w:after="283"/>
              <w:jc w:val="center"/>
              <w:rPr/>
            </w:pPr>
            <w:r>
              <w:rPr/>
              <w:t>Summary of convertible preferred stock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Stock</w:t>
              <w:br/>
              <w:t>Authorized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Stock Issued</w:t>
              <w:br/>
              <w:t>and 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Carrying</w:t>
              <w:br/>
              <w:t>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Liquidation</w:t>
              <w:br/>
              <w:t>Preference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br/>
              <w:t>Issuable Upon</w:t>
              <w:br/>
              <w:t>Conversion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In June 2025, the Company entered into a series of conversion agreements (the “Conversion Agreements”) with certain creditors. Pursuant to the Conversion Agreements, certain creditors agreed to exchange $4,429 of accounts payable and accrued expenses for the issuance of 11,983 shares of the Company’s Series C Convertible preferred stock.</w:t>
      </w:r>
    </w:p>
    <w:p>
      <w:pPr>
        <w:pStyle w:val="TextBody"/>
        <w:bidi w:val="0"/>
        <w:spacing w:before="0" w:after="0"/>
        <w:ind w:left="0" w:right="0" w:firstLine="554"/>
        <w:jc w:val="left"/>
        <w:rPr>
          <w:caps w:val="false"/>
          <w:smallCaps w:val="false"/>
          <w:color w:val="333333"/>
        </w:rPr>
      </w:pPr>
      <w:r>
        <w:rPr>
          <w:caps w:val="false"/>
          <w:smallCaps w:val="false"/>
          <w:color w:val="333333"/>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On July 22, 2025, the Company issued a total of 11,983 shares of the Company’s Series C Convertible Preferred Stock </w:t>
      </w:r>
      <w:r>
        <w:rPr>
          <w:rFonts w:ascii="Times New Roman;Times;Serif" w:hAnsi="Times New Roman;Times;Serif"/>
          <w:b w:val="false"/>
          <w:i w:val="false"/>
          <w:caps w:val="false"/>
          <w:smallCaps w:val="false"/>
          <w:color w:val="333333"/>
          <w:sz w:val="20"/>
        </w:rPr>
        <w:t>(convertible into 11,983,000 shares of Common Stock)</w:t>
      </w:r>
      <w:r>
        <w:rPr>
          <w:rFonts w:ascii="Times New Roman;Times;Serif" w:hAnsi="Times New Roman;Times;Serif"/>
          <w:b w:val="false"/>
          <w:i w:val="false"/>
          <w:caps w:val="false"/>
          <w:smallCaps w:val="false"/>
          <w:sz w:val="20"/>
        </w:rPr>
        <w:t xml:space="preserve"> with a fair value of $12 to two creditors in settlement of $4,429 of accounts payable and accrued expenses pursuant to the Conversion Agreements </w:t>
      </w:r>
      <w:r>
        <w:rPr>
          <w:rFonts w:ascii="Times New Roman;Times;Serif" w:hAnsi="Times New Roman;Times;Serif"/>
          <w:b w:val="false"/>
          <w:i w:val="false"/>
          <w:caps w:val="false"/>
          <w:smallCaps w:val="false"/>
          <w:color w:val="333333"/>
          <w:sz w:val="20"/>
        </w:rPr>
        <w:t>As a result of the issuance of the Series C Convertible preferred stock, the Company recognized a gain on extinguishment of liabilities of $4,417.</w:t>
      </w:r>
      <w:r>
        <w:rPr>
          <w:rFonts w:ascii="Times New Roman;Times;Serif" w:hAnsi="Times New Roman;Times;Serif"/>
          <w:b w:val="false"/>
          <w:i w:val="false"/>
          <w:caps w:val="false"/>
          <w:smallCaps w:val="false"/>
          <w:sz w:val="24"/>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F-34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authorized, issued, and outstanding Series C Convertible Preferred Stock and their principal were as follows:</w:t>
      </w:r>
    </w:p>
    <w:tbl>
      <w:tblPr>
        <w:tblW w:w="10058" w:type="dxa"/>
        <w:jc w:val="left"/>
        <w:tblInd w:w="0" w:type="dxa"/>
        <w:tblLayout w:type="fixed"/>
        <w:tblCellMar>
          <w:top w:w="0" w:type="dxa"/>
          <w:left w:w="0" w:type="dxa"/>
          <w:bottom w:w="0" w:type="dxa"/>
          <w:right w:w="0" w:type="dxa"/>
        </w:tblCellMar>
      </w:tblPr>
      <w:tblGrid>
        <w:gridCol w:w="3785"/>
        <w:gridCol w:w="60"/>
        <w:gridCol w:w="61"/>
        <w:gridCol w:w="693"/>
        <w:gridCol w:w="60"/>
        <w:gridCol w:w="60"/>
        <w:gridCol w:w="67"/>
        <w:gridCol w:w="763"/>
        <w:gridCol w:w="60"/>
        <w:gridCol w:w="60"/>
        <w:gridCol w:w="99"/>
        <w:gridCol w:w="1135"/>
        <w:gridCol w:w="60"/>
        <w:gridCol w:w="60"/>
        <w:gridCol w:w="140"/>
        <w:gridCol w:w="560"/>
        <w:gridCol w:w="60"/>
        <w:gridCol w:w="60"/>
        <w:gridCol w:w="301"/>
        <w:gridCol w:w="559"/>
        <w:gridCol w:w="60"/>
        <w:gridCol w:w="60"/>
        <w:gridCol w:w="60"/>
        <w:gridCol w:w="1100"/>
        <w:gridCol w:w="75"/>
      </w:tblGrid>
      <w:tr>
        <w:trPr/>
        <w:tc>
          <w:tcPr>
            <w:tcW w:w="3785" w:type="dxa"/>
            <w:tcBorders/>
            <w:vAlign w:val="center"/>
          </w:tcPr>
          <w:p>
            <w:pPr>
              <w:pStyle w:val="TableContents"/>
              <w:bidi w:val="0"/>
              <w:spacing w:before="0" w:after="283"/>
              <w:jc w:val="center"/>
              <w:rPr>
                <w:sz w:val="24"/>
              </w:rPr>
            </w:pPr>
            <w:r>
              <w:rPr>
                <w:sz w:val="24"/>
              </w:rPr>
              <w:t>Summary of convertible preferred stock</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4" w:type="dxa"/>
            <w:gridSpan w:val="18"/>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4"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 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w:t>
              <w:b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w:t>
              <w:b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br/>
              <w:t>Issuable Upon</w:t>
              <w:br/>
              <w:t>Conversion</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Series C Preferred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11,983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11,983,000</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bottom w:w="28" w:type="dxa"/>
            </w:tcMar>
            <w:vAlign w:val="center"/>
          </w:tcPr>
          <w:p>
            <w:pPr>
              <w:pStyle w:val="TableContents"/>
              <w:bidi w:val="0"/>
              <w:spacing w:before="0" w:after="283"/>
              <w:jc w:val="right"/>
              <w:rPr/>
            </w:pPr>
            <w:r>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11,983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11,983,000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authorized 600,000,000 shares of $0.0001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Unvested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firstLine="4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28, 2024, 1,129,630 shares of Sponsor Shares became unvested and are subject to the forfeiture pursuant to the closing available cash provisions as described in the sponsor support agreement in contemplation of the Merger. All of the Unvested Shares will become vested if, within three 3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3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year ended December 31, 2025.</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Lincoln Park Purchase Agreement</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two equity purchase agreements with Lincoln Park Capital Fund, LLC (“Lincoln Park”) on December 19, 2023 (the “2023 Purchase Agreement”) and August 13, 2024 (the “2024 Purchase Agreement”). Under the 2023 Purchase Agreement, Lincoln Park committed to purchase up to $75,000 of the Company’s Common Stock over a 36-month period following the Merger Closing. The Company issued 712,025 shares with fair value of $1,688 as a Commitment Fee on April 11, 2024. A related registration statement covering the shares issuable under the agreement was filed on April 12, 2024 and declared effective on April 18, 2024. As of December 31, 2025, the Company had issued 13,078,780 shares for total proceeds of $8,564 (excluding Commitment Shares).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F-35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2024 Purchase Agreement, Lincoln Park committed to purchase up to $10,000 of Common Stock over a 24-month period. The Company issued 500,000 Commitment Shares upon execution. The related registration statement was filed on September 3, 2024 and declared effective on September 9, 2024. As of December 31, 2025, the Company issued 2,700,000 shares for total proceeds of $862 (excluding Commitment Shares).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Agreements and Universal Resale and Registration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a series of conversion agreements with certain of its creditors. Pursuant to the Conversion Agreements certain creditors agreed to exchange an aggregate of approximately $6,814 of accounts payable, into 17,681,000 shares of the Company’s Common Stock with a fair value of $2,105, resulting in a gain of extinguishment of liabilities of $4,695 that has been recorded as other income in the accompanying statement of operations for the year ending December 31, 2025 . In connection with the Conversion Agreements, the Company and counterparties who received Common Stock or preferred stock entered into certain Universal Resale and Registration Provisions pursuant to which such recipients agreed to certain lock-up provisions restricting and limiting their sale, transfer, pledge, or disposal of any shares of Common Stock held by or issuable to such recipients.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 and Private Placement Warrants</w:t>
      </w:r>
    </w:p>
    <w:p>
      <w:pPr>
        <w:pStyle w:val="TextBody"/>
        <w:bidi w:val="0"/>
        <w:spacing w:before="0" w:after="0"/>
        <w:ind w:left="489"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AAC’s IPO, AAC issued Public Warrants to third-party investors where each whole warrant entitles the holder to purchase one 1 share of AAC’s Common Stock at an exercise price of $11.50 per share. Simultaneously with the closing of the IPO, AAC completed the private sale of Private Placement Warrants to the sponsor, where each warrant allows the holder to purchase one 1 share of AAC’s Common Stock at $11.50 per share. Additionally, pursuant to AACs’ sponsor working capital loan agreement, the sponsor may convert up to $1,500 of the outstanding Notes Payable – Related Party into up to an additional 1,500,000 Private Placement Warrants at the price of $1.00 per warrant upon the Closing Date (Note 8). Upon the Closing Date, the option to convert up to $1,500 of the outstanding Notes Payable – Related Party amount into and up to an additional 1,500,000 Private Placement Warrants was not exercised. As of December 31, 2025, 11,499,982 Public Warrants and 13,550,000 Private Placement Warrants remained outstanding.</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there were 11,499,982 and 11,499,982 Public Warrants outstanding, respectively. As of December 31, 2025 and 2024, there were 55,800,000 and 13,550,000 Private Placement Warrants outstanding, respectively. The Public Warrants and Private Placement Warrants qualify for equity classification in accordance with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Warrants were initially measured at fair value and recorded within equity with no subsequent measures of changes in fair value.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10" w:right="10" w:firstLine="508"/>
        <w:jc w:val="left"/>
        <w:rPr>
          <w:caps w:val="false"/>
          <w:smallCaps w:val="false"/>
        </w:rPr>
      </w:pPr>
      <w:r>
        <w:rPr>
          <w:caps w:val="false"/>
          <w:smallCaps w:val="false"/>
        </w:rPr>
        <w:t> </w:t>
      </w:r>
    </w:p>
    <w:p>
      <w:pPr>
        <w:pStyle w:val="TextBody"/>
        <w:bidi w:val="0"/>
        <w:spacing w:before="0" w:after="0"/>
        <w:ind w:left="10" w:right="10" w:firstLine="508"/>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F-36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activity after retrospectively adjusting for the effect of the reverse recapitalization during the year ended December 31, 2024 and 2025 is as follows:</w:t>
      </w:r>
    </w:p>
    <w:tbl>
      <w:tblPr>
        <w:tblW w:w="9578" w:type="dxa"/>
        <w:jc w:val="left"/>
        <w:tblInd w:w="0" w:type="dxa"/>
        <w:tblLayout w:type="fixed"/>
        <w:tblCellMar>
          <w:top w:w="0" w:type="dxa"/>
          <w:left w:w="0" w:type="dxa"/>
          <w:bottom w:w="0" w:type="dxa"/>
          <w:right w:w="0" w:type="dxa"/>
        </w:tblCellMar>
      </w:tblPr>
      <w:tblGrid>
        <w:gridCol w:w="4565"/>
        <w:gridCol w:w="60"/>
        <w:gridCol w:w="60"/>
        <w:gridCol w:w="950"/>
        <w:gridCol w:w="60"/>
        <w:gridCol w:w="60"/>
        <w:gridCol w:w="212"/>
        <w:gridCol w:w="827"/>
        <w:gridCol w:w="60"/>
        <w:gridCol w:w="60"/>
        <w:gridCol w:w="188"/>
        <w:gridCol w:w="1197"/>
        <w:gridCol w:w="60"/>
        <w:gridCol w:w="60"/>
        <w:gridCol w:w="189"/>
        <w:gridCol w:w="895"/>
        <w:gridCol w:w="75"/>
      </w:tblGrid>
      <w:tr>
        <w:trPr/>
        <w:tc>
          <w:tcPr>
            <w:tcW w:w="4565" w:type="dxa"/>
            <w:tcBorders/>
            <w:vAlign w:val="center"/>
          </w:tcPr>
          <w:p>
            <w:pPr>
              <w:pStyle w:val="TableContents"/>
              <w:bidi w:val="0"/>
              <w:spacing w:before="0" w:after="283"/>
              <w:jc w:val="left"/>
              <w:rPr/>
            </w:pPr>
            <w:r>
              <w:rPr/>
              <w:t>Schedule of effect of the reverse recapitalization</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w:t>
              <w:br/>
              <w:t>Average</w:t>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Weighted-Average</w:t>
              <w:br/>
              <w:t>Remaining</w:t>
              <w:br/>
              <w:t>Contractual Term</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Aggregate</w:t>
              <w:b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25,049,982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25,049,982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67,299,982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exercisable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66,249,982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on Convertible Promissory Notes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securities purchase agreement with accredited investors pursuant to which the Company sold and issued secured Convertible Promissory Notes and Warrants to purchase 37,500,000 shares of Common Stock for total gross proceeds of $3,000. The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on a cashless basis by the holders.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Warrants on Financing Activities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August, and December 2025, the Company issued 550,000, 1,200,000, and 3,000,000 warrants with an exercise price of $0.115, $0.04, and $0.04 per share, respectively, to its investment bankers in connection with the Company’s financing activities. The 1,200,000 warrants issued in August 2025 are subject to service conditions and vest monthly over twenty-four months. The warrants are classified as equity, and their fair value was measured using the Black-Scholes option-pricing model. The fair value of the warrants on the date of issuance was immaterial.</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weighted-average grant-date fair value of warrants granted for the year ended December 31, 2025 was $0.04 per share. As of December 31, 2025, there was no unrecognized compensation cost related</w:t>
      </w:r>
      <w:r>
        <w:rPr>
          <w:rFonts w:ascii="Times New Roman;Times;Serif" w:hAnsi="Times New Roman;Times;Serif"/>
          <w:b w:val="false"/>
          <w:i w:val="false"/>
          <w:caps w:val="false"/>
          <w:smallCaps w:val="false"/>
          <w:sz w:val="20"/>
        </w:rPr>
        <w:t xml:space="preserve"> to unvested warrants.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2018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Board of Directors adopted the 2018 Stock Incentive Plan. Under the terms of the 2018 Plan, incentive stock options (“ISO”) could be granted to employees of Legacy Zapata and nonqualified stock options (“NQ”), or restricted stock awards (“RSA”) could be granted to directors, consultants, employees and officers of Legacy Zapata. The exercise price of stock options cannot be less than the fair value of Legacy Zapata’s Common Stock on the </w:t>
      </w:r>
      <w:r>
        <w:rPr>
          <w:rFonts w:ascii="Times New Roman;Times;Serif" w:hAnsi="Times New Roman;Times;Serif"/>
          <w:b w:val="false"/>
          <w:i w:val="false"/>
          <w:caps w:val="false"/>
          <w:smallCaps w:val="false"/>
          <w:spacing w:val="-1"/>
          <w:sz w:val="20"/>
        </w:rPr>
        <w:t>date of grant. The options vest over a period determined by the Board of Directors, generally four years, and expire not more than ten years from the date of</w:t>
      </w:r>
      <w:r>
        <w:rPr>
          <w:rFonts w:ascii="Times New Roman;Times;Serif" w:hAnsi="Times New Roman;Times;Serif"/>
          <w:b w:val="false"/>
          <w:i w:val="false"/>
          <w:caps w:val="false"/>
          <w:smallCaps w:val="false"/>
          <w:sz w:val="20"/>
        </w:rPr>
        <w:t xml:space="preserve"> grant.</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retrospectively adjusting for the effect of the reverse recapitalization, the total number of shares of Common Stock designated for issuance under the 2018 Plan was 4,058,126 as of December 31, 2023. As of December 31, 2023, there were 197,598 shares remaining available for future grants under the 2018 Plan. Following the effectiveness of the 2024 Plan in March 2024, the 2018 Plan has been terminated and Legacy Zapata will not make any further awards under the 2018 Stock Incentive Plan.</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503,515 shares remained outstanding under the 2018 Plan following the Operational Cessation.</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F-37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and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Board of Directors adopted the 2024 Plan, which has been approved by the Company’s shareholders. The 2024 Plan became effective immediately prior to the consummation of the Merger. Under the terms of the 2024 Plan, equity and equity-based incentive awards, as well as cash awards may be granted to employees, directors and consultants. As of December 31, 2024, the Company has reserved 3,491,146 shares of the Company’s Common Stock for issuance under the 2024 Plan. The 2024 Plan provides that the number of shares of the Company’s Common Stock reserved and available for issuance under the 2024 Plan will automatically increase each January 1, beginning on January 1, 2025 and on each January 1 thereafter, by 5% of the outstanding number of shares of the Company’s Common Stock on the immediately preceding December 31, or such lesser amount as determined by the </w:t>
      </w:r>
      <w:r>
        <w:rPr>
          <w:rFonts w:ascii="Times New Roman;Times;Serif" w:hAnsi="Times New Roman;Times;Serif"/>
          <w:b w:val="false"/>
          <w:i w:val="false"/>
          <w:caps w:val="false"/>
          <w:smallCaps w:val="false"/>
          <w:spacing w:val="-1"/>
          <w:sz w:val="20"/>
        </w:rPr>
        <w:t>plan administrator. Shares of underlying any stock-based awards that are forfeited, canceled, held back upon exercise of an option or settlement of an award</w:t>
      </w:r>
      <w:r>
        <w:rPr>
          <w:rFonts w:ascii="Times New Roman;Times;Serif" w:hAnsi="Times New Roman;Times;Serif"/>
          <w:b w:val="false"/>
          <w:i w:val="false"/>
          <w:caps w:val="false"/>
          <w:smallCaps w:val="false"/>
          <w:sz w:val="20"/>
        </w:rPr>
        <w:t xml:space="preserve"> to cover the exercise price or tax withholding, or reacquired by the Company prior to vesting, satisfied without the issuance of stock or otherwise terminated (other than by exercise) will be added back to the shares available for the grant of awards under the 2024 Plan.</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 total of 5,669,371 shares of Common Stock were reserved for issuance under the 2024 Plan, of which 200,000 shares of Common Stock were issued and outstanding, 25,000 shares of Common Stock were issuable upon the vesting of restricted awards, and 5,444,371 shares remained available for future grants.</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options exercisable for an aggregate of 900,000 shares of its Common Stock as inducement awards outside of the 2024 Plan during the year ended December 31, 2024. Of these, 300,000 options were forfeited as a result of the Operational Cessation, and 600,000 options remained outstanding as of December 31, 2025 and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 Option Valuation </w:t>
      </w:r>
    </w:p>
    <w:p>
      <w:pPr>
        <w:pStyle w:val="TextBody"/>
        <w:bidi w:val="0"/>
        <w:spacing w:lineRule="auto" w:line="276" w:before="0" w:after="0"/>
        <w:ind w:left="508"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value option grants on the date of grant and to determine the related compensation expense. The assumptions used in calculating the fair value of stock-based payment awards represent management’s best estimations. The Company bases its expected volatility on the volatilities of certain publicly-traded peer companies. Management believes that the historical volatility of the Company’s stock price does not best represent the expected volatility of the stock price. The risk-free interest rate is determined by reference to the U.S. Treasury yield curve in effect at the time of grant of the award for time periods approximately equal to the expected term of the stock options granted. The Company uses the simplified method (an expected term based on the midpoint between the vesting date and the end of the contractual term) to calculate the expected term for awards that qualify as “plain-vanilla” options as it does not have sufficient historical exercise data to provide a reasonable basis upon which to estimate the expected term for options granted to employees. The expected dividend yield assumption is based on the Company’s history and expectation of dividend payouts.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In determining the exercise prices for options granted, the Company has considered the fair value of the Common Stock as of the measurement date. </w:t>
      </w:r>
      <w:r>
        <w:rPr>
          <w:rFonts w:ascii="Times New Roman;Times;Serif" w:hAnsi="Times New Roman;Times;Serif"/>
          <w:b w:val="false"/>
          <w:i w:val="false"/>
          <w:caps w:val="false"/>
          <w:smallCaps w:val="false"/>
          <w:spacing w:val="-1"/>
          <w:sz w:val="20"/>
        </w:rPr>
        <w:t xml:space="preserve">Prior to the Closing of the Merger, the fair value of the Common Stock was determined by management with consideration to a third-party valuation, which </w:t>
      </w:r>
      <w:r>
        <w:rPr>
          <w:rFonts w:ascii="Times New Roman;Times;Serif" w:hAnsi="Times New Roman;Times;Serif"/>
          <w:b w:val="false"/>
          <w:i w:val="false"/>
          <w:caps w:val="false"/>
          <w:smallCaps w:val="false"/>
          <w:sz w:val="20"/>
        </w:rPr>
        <w:t xml:space="preserve">contemplated a broad range of factors, including the illiquid nature of the investment in </w:t>
      </w:r>
      <w:r>
        <w:rPr>
          <w:rFonts w:ascii="Times New Roman;Times;Serif" w:hAnsi="Times New Roman;Times;Serif"/>
          <w:b w:val="false"/>
          <w:i w:val="false"/>
          <w:caps w:val="false"/>
          <w:smallCaps w:val="false"/>
          <w:spacing w:val="-1"/>
          <w:sz w:val="20"/>
        </w:rPr>
        <w:t>the Company’s Common Stock, the Company’s historical financial performance and financial position, the Company’s future prospects and opportunity for</w:t>
      </w:r>
      <w:r>
        <w:rPr>
          <w:rFonts w:ascii="Times New Roman;Times;Serif" w:hAnsi="Times New Roman;Times;Serif"/>
          <w:b w:val="false"/>
          <w:i w:val="false"/>
          <w:caps w:val="false"/>
          <w:smallCaps w:val="false"/>
          <w:sz w:val="20"/>
        </w:rPr>
        <w:t xml:space="preserve"> liquidity events, and recent sale and offer prices of common and convertible preferred stock, if any, in private transactions negotiated at arm’s length. Following the Closing of the Merger, the fair value of the Common Stock has been determined based on the traded price of the Company’s Common Stock.</w:t>
      </w:r>
      <w:r>
        <w:rPr>
          <w:rFonts w:ascii="Times New Roman;Times;Serif" w:hAnsi="Times New Roman;Times;Serif"/>
          <w:b w:val="false"/>
          <w:i w:val="false"/>
          <w:caps w:val="false"/>
          <w:smallCaps w:val="false"/>
          <w:sz w:val="24"/>
        </w:rPr>
        <w:t> </w:t>
      </w:r>
    </w:p>
    <w:p>
      <w:pPr>
        <w:pStyle w:val="TextBody"/>
        <w:bidi w:val="0"/>
        <w:spacing w:before="0" w:after="0"/>
        <w:ind w:left="10" w:right="10" w:firstLine="508"/>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assumptions used in the Black-Scholes option-pricing model to determine the fair value of stock options granted during the year ended December 31, 2025 and 2024:</w:t>
      </w:r>
    </w:p>
    <w:tbl>
      <w:tblPr>
        <w:tblW w:w="10205" w:type="dxa"/>
        <w:jc w:val="left"/>
        <w:tblInd w:w="0" w:type="dxa"/>
        <w:tblLayout w:type="fixed"/>
        <w:tblCellMar>
          <w:top w:w="0" w:type="dxa"/>
          <w:left w:w="0" w:type="dxa"/>
          <w:bottom w:w="0" w:type="dxa"/>
          <w:right w:w="0" w:type="dxa"/>
        </w:tblCellMar>
      </w:tblPr>
      <w:tblGrid>
        <w:gridCol w:w="7294"/>
        <w:gridCol w:w="60"/>
        <w:gridCol w:w="60"/>
        <w:gridCol w:w="1267"/>
        <w:gridCol w:w="60"/>
        <w:gridCol w:w="60"/>
        <w:gridCol w:w="60"/>
        <w:gridCol w:w="1267"/>
        <w:gridCol w:w="77"/>
      </w:tblGrid>
      <w:tr>
        <w:trPr/>
        <w:tc>
          <w:tcPr>
            <w:tcW w:w="7294" w:type="dxa"/>
            <w:tcBorders/>
            <w:vAlign w:val="center"/>
          </w:tcPr>
          <w:p>
            <w:pPr>
              <w:pStyle w:val="TableContents"/>
              <w:bidi w:val="0"/>
              <w:spacing w:before="0" w:after="283"/>
              <w:jc w:val="left"/>
              <w:rPr>
                <w:sz w:val="20"/>
              </w:rPr>
            </w:pPr>
            <w:r>
              <w:rPr>
                <w:sz w:val="20"/>
              </w:rPr>
              <w:t>Summary of assumptions used in Black-Scholes option-pricing model to determine fair value of stock options granted</w:t>
            </w:r>
          </w:p>
        </w:tc>
        <w:tc>
          <w:tcPr>
            <w:tcW w:w="6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72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4.63% - 3.77%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4.32% - 4.50%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7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7"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F-38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outstanding options to purchase shares of Legacy Zapata Common Stock were converted into options to purchase an aggregate of 3,016,409 shares of the Company’s Common Stock, determined by giving effect of the Exchange Ratio of 0.9141.</w:t>
      </w:r>
    </w:p>
    <w:p>
      <w:pPr>
        <w:pStyle w:val="TextBody"/>
        <w:bidi w:val="0"/>
        <w:spacing w:lineRule="auto" w:line="276" w:before="0" w:after="0"/>
        <w:ind w:left="820" w:right="820" w:firstLine="540"/>
        <w:jc w:val="left"/>
        <w:rPr>
          <w:caps w:val="false"/>
          <w:smallCaps w:val="false"/>
        </w:rPr>
      </w:pPr>
      <w:r>
        <w:rPr>
          <w:caps w:val="false"/>
          <w:smallCaps w:val="false"/>
        </w:rPr>
        <w:t> </w:t>
      </w:r>
    </w:p>
    <w:p>
      <w:pPr>
        <w:pStyle w:val="TextBody"/>
        <w:bidi w:val="0"/>
        <w:spacing w:before="0" w:after="0"/>
        <w:ind w:left="10" w:right="1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after retrospectively adjusting for the effect of the reverse recapitalization during the year ended December 31, 2024 and 2025 is as follows:</w:t>
      </w:r>
    </w:p>
    <w:tbl>
      <w:tblPr>
        <w:tblW w:w="9403" w:type="dxa"/>
        <w:jc w:val="left"/>
        <w:tblInd w:w="0" w:type="dxa"/>
        <w:tblLayout w:type="fixed"/>
        <w:tblCellMar>
          <w:top w:w="0" w:type="dxa"/>
          <w:left w:w="0" w:type="dxa"/>
          <w:bottom w:w="0" w:type="dxa"/>
          <w:right w:w="0" w:type="dxa"/>
        </w:tblCellMar>
      </w:tblPr>
      <w:tblGrid>
        <w:gridCol w:w="4370"/>
        <w:gridCol w:w="60"/>
        <w:gridCol w:w="60"/>
        <w:gridCol w:w="950"/>
        <w:gridCol w:w="80"/>
        <w:gridCol w:w="60"/>
        <w:gridCol w:w="212"/>
        <w:gridCol w:w="827"/>
        <w:gridCol w:w="60"/>
        <w:gridCol w:w="60"/>
        <w:gridCol w:w="188"/>
        <w:gridCol w:w="1197"/>
        <w:gridCol w:w="60"/>
        <w:gridCol w:w="60"/>
        <w:gridCol w:w="189"/>
        <w:gridCol w:w="895"/>
        <w:gridCol w:w="75"/>
      </w:tblGrid>
      <w:tr>
        <w:trPr/>
        <w:tc>
          <w:tcPr>
            <w:tcW w:w="4370" w:type="dxa"/>
            <w:tcBorders/>
            <w:vAlign w:val="center"/>
          </w:tcPr>
          <w:p>
            <w:pPr>
              <w:pStyle w:val="TableContents"/>
              <w:bidi w:val="0"/>
              <w:spacing w:before="0" w:after="283"/>
              <w:jc w:val="left"/>
              <w:rPr>
                <w:sz w:val="20"/>
              </w:rPr>
            </w:pPr>
            <w:r>
              <w:rPr>
                <w:sz w:val="20"/>
              </w:rPr>
              <w:t>Summary of stock option activity</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w:t>
              <w:br/>
              <w:t>Average</w:t>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Weighted-Average</w:t>
              <w:br/>
              <w:t>Remaining</w:t>
              <w:br/>
              <w:t>Contractual Term</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Aggregate</w:t>
              <w:br/>
              <w:t>Intrinsic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3,078,475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and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(1,853,297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39,003,451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exercisable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76" w:before="0" w:after="0"/>
        <w:ind w:left="0" w:right="0" w:firstLine="508"/>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the Company appointed Mr. William Klitgaard to the Board of Directors and named him as the sole member of the Audit Committee. In connection with his appointment, the Company granted Mr. Klitgaard the following compensation: (i) a grant of 1,000,000 five-year stock options with a fair value of $74 as determined by a Black Scholes pricing model, vesting in equal monthly increments over a two-year period, subject to continued services to the Company as of each applicable vesting date, with an exercise price of $0.08, (ii) cash compensation of $100 per year for services as director, and (iii) additional cash compensation of $25 per year for services as a chair of the Audit Committee of the Company, with both cash grants subject to Mr. Klitgaard’s continued service to the Company as of each applicable payment date.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appointed Mr. Clark Golestani, a director, to serve as Chairman of the Board of Directors. In connection with his appointment, the Company granted Mr. Golestani 1,000,000 five-year stock options with an exercise price of $0.08 with a fair value of $87 as determined by a Black Scholes pricing model, vesting in equal monthly increments over a two-year period, subject to Mr. Golestani’s continued service to the Company as of each applicable vesting date.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appointed Mr. Sumit Kapur, the Company's Chief Executive Officer, to the Board of Directors. In connection with his appointment, the Company granted Mr. Kapur 1,000,000 five-year stock options with an exercise price of $0.08 with a fair value of $87 as determined by a Black Scholes pricing model, vesting in equal monthly increments over a two-year period, subject to Mr. Kapur’s continued service to the Company as of each applicable vesting date. On October 9, 2025, in connection with Mr. Kapur’s services as Chief Executive Officer, the Company also granted Mr. Kapur 5,000,000 five-year stock options with an exercise price of $0.08, with a fair value of $433 as determined by a Black Scholes pricing model, vesting in equal monthly installments over four years, subject to his continued services to the Company as of each applicable vesting date.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In addition to the option grants listed above, the Company granted its employees, advisors, and consultants an aggregate of 29,900,000 ten-year stock options with an exercise price ranging from $0.0020 and $0.15 with an aggregate fair value of $858 as determined by a Black Scholes pricing model, vesting in equal monthly increments over either a two or four year period, with certain awards vesting 25% after one year and then monthly over a 36-month period, subject to his continued services to the Company as of each applicable vesting date.</w:t>
      </w:r>
    </w:p>
    <w:p>
      <w:pPr>
        <w:pStyle w:val="TextBody"/>
        <w:bidi w:val="0"/>
        <w:spacing w:before="0" w:after="0"/>
        <w:ind w:left="0" w:right="0" w:firstLine="508"/>
        <w:jc w:val="left"/>
        <w:rPr>
          <w:caps w:val="false"/>
          <w:smallCaps w:val="false"/>
          <w:spacing w:val="-1"/>
        </w:rPr>
      </w:pPr>
      <w:r>
        <w:rPr>
          <w:caps w:val="false"/>
          <w:smallCaps w:val="false"/>
          <w:spacing w:val="-1"/>
        </w:rPr>
        <w:t> </w:t>
      </w:r>
    </w:p>
    <w:p>
      <w:pPr>
        <w:pStyle w:val="TextBody"/>
        <w:bidi w:val="0"/>
        <w:spacing w:before="0" w:after="0"/>
        <w:ind w:left="0" w:right="0" w:firstLine="508"/>
        <w:jc w:val="left"/>
        <w:rPr>
          <w:caps w:val="false"/>
          <w:smallCaps w:val="false"/>
          <w:spacing w:val="-1"/>
        </w:rPr>
      </w:pPr>
      <w:r>
        <w:rPr>
          <w:caps w:val="false"/>
          <w:smallCaps w:val="false"/>
          <w:spacing w:val="-1"/>
        </w:rPr>
        <w:t> </w:t>
      </w:r>
    </w:p>
    <w:p>
      <w:pPr>
        <w:pStyle w:val="TextBody"/>
        <w:bidi w:val="0"/>
        <w:spacing w:before="0" w:after="0"/>
        <w:ind w:left="0" w:right="0" w:firstLine="508"/>
        <w:jc w:val="left"/>
        <w:rPr>
          <w:caps w:val="false"/>
          <w:smallCaps w:val="false"/>
          <w:spacing w:val="-1"/>
        </w:rPr>
      </w:pPr>
      <w:r>
        <w:rPr>
          <w:caps w:val="false"/>
          <w:smallCaps w:val="false"/>
          <w:spacing w:val="-1"/>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F-39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weighted-average grant-date fair value of awards granted for the year ended December 31, 2025 was $0.034 per share. As of December 31, 2025, there was $1,764 of total unrecognized compensation cost related</w:t>
      </w:r>
      <w:r>
        <w:rPr>
          <w:rFonts w:ascii="Times New Roman;Times;Serif" w:hAnsi="Times New Roman;Times;Serif"/>
          <w:b w:val="false"/>
          <w:i w:val="false"/>
          <w:caps w:val="false"/>
          <w:smallCaps w:val="false"/>
          <w:sz w:val="20"/>
        </w:rPr>
        <w:t xml:space="preserve"> to unvested stock options. The Company expects to recognize the unrecognized compensation amount over a remaining weighted-average period of 3.26 years. The fair value of stock options that vested during the years ended December 31, 2025 and 2024 was $245 and $95, respectively.</w:t>
      </w:r>
    </w:p>
    <w:p>
      <w:pPr>
        <w:pStyle w:val="TextBody"/>
        <w:bidi w:val="0"/>
        <w:spacing w:before="0" w:after="0"/>
        <w:ind w:left="0" w:right="0" w:firstLine="508"/>
        <w:jc w:val="left"/>
        <w:rPr>
          <w:caps w:val="false"/>
          <w:smallCaps w:val="false"/>
          <w:spacing w:val="-1"/>
        </w:rPr>
      </w:pPr>
      <w:r>
        <w:rPr>
          <w:caps w:val="false"/>
          <w:smallCaps w:val="false"/>
          <w:spacing w:val="-1"/>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grant nonvested restricted Common Stock to employees, directors, and consultants with or without cash consideration. These grants contain certain restrictions on the sale of the shares. Nonvested restricted Common Stock are not considered issued or outstanding for accounting purposes until they vest. Upon termination of the relationship with a holder of such shares, the Company has the right to repurchase the nonvested restricted Common Stock shares at the there was no consideration, a price per share defined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restricted stock activity during the year ended December 31, 2025:</w:t>
      </w:r>
    </w:p>
    <w:tbl>
      <w:tblPr>
        <w:tblW w:w="8167" w:type="dxa"/>
        <w:jc w:val="left"/>
        <w:tblInd w:w="0" w:type="dxa"/>
        <w:tblLayout w:type="fixed"/>
        <w:tblCellMar>
          <w:top w:w="0" w:type="dxa"/>
          <w:left w:w="0" w:type="dxa"/>
          <w:bottom w:w="0" w:type="dxa"/>
          <w:right w:w="0" w:type="dxa"/>
        </w:tblCellMar>
      </w:tblPr>
      <w:tblGrid>
        <w:gridCol w:w="116"/>
        <w:gridCol w:w="3638"/>
        <w:gridCol w:w="60"/>
        <w:gridCol w:w="60"/>
        <w:gridCol w:w="60"/>
        <w:gridCol w:w="1010"/>
        <w:gridCol w:w="80"/>
        <w:gridCol w:w="60"/>
        <w:gridCol w:w="60"/>
        <w:gridCol w:w="1010"/>
        <w:gridCol w:w="80"/>
        <w:gridCol w:w="60"/>
        <w:gridCol w:w="224"/>
        <w:gridCol w:w="575"/>
        <w:gridCol w:w="80"/>
        <w:gridCol w:w="60"/>
        <w:gridCol w:w="150"/>
        <w:gridCol w:w="709"/>
        <w:gridCol w:w="75"/>
      </w:tblGrid>
      <w:tr>
        <w:trPr/>
        <w:tc>
          <w:tcPr>
            <w:tcW w:w="3754" w:type="dxa"/>
            <w:gridSpan w:val="2"/>
            <w:tcBorders/>
            <w:vAlign w:val="center"/>
          </w:tcPr>
          <w:p>
            <w:pPr>
              <w:pStyle w:val="TableContents"/>
              <w:bidi w:val="0"/>
              <w:spacing w:before="0" w:after="283"/>
              <w:jc w:val="left"/>
              <w:rPr/>
            </w:pPr>
            <w:r>
              <w:rPr/>
              <w:t> </w:t>
            </w:r>
            <w:r>
              <w:rPr>
                <w:sz w:val="20"/>
              </w:rPr>
              <w:t>Schedule of restricted common stock activity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Unvested</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Issuable</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br/>
              <w:t>at Date of</w:t>
              <w:br/>
              <w:t>Issuance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w:t>
              <w:br/>
              <w:t xml:space="preserve">Average </w:t>
              <w:br/>
              <w:t>Grant Date</w:t>
              <w:b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Chief Executive Officer 32,500,000 shares of the Company’s restricted stock with an aggregate fair value of $13 or $0.0004 per share. The restricted stock grant vests monthly over 24 months.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Chairman of the Board 32,500,000 shares of the Company’s restricted stock with an aggregate fair value of $13 or $0.0004 per share. The restricted stock grant vests monthly over 24 months.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2024, the Company granted its Chairman of the Board 75,000 shares of the Company’s restricted stock with an aggregate fair value of $43 or $0.57 per share. The restricted stock grant vests 33.33% on October 1, 2024, 33.33% on January 10, 2025, and 33.34% on the date of the Company’s annual meeting.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recognized stock-based compensation expense of $26 and $0, respectively, and issued 65,050,000 and 450,000 shares of restricted stock based on the vesting terms of the grants, respectively. As of December 31, 2025, no unamortized stock compensation expense remained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Employee Stock Purchase Plan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Board of Directors adopted the 2024 Employee Stock Purchase Plan (the “2024 ESPP”), which has been approved by the Company’s shareholders. The 2024 ESPP provides eligible employees with an opportunity to purchase shares of the Company’s Common Stock through accumulated contributions, which generally will be made through payroll deductions. The 2024 ESPP permits the administrator of the 2024 ESPP to grant purchase rights that qualify for preferential tax treatment under Section 423 of the Internal Revenue Code of 1986 (the “Code”). In addition, the 2024 ESPP authorizes the grant of purchase rights that do not qualify under Code Section 423 pursuant to rules, procedures or sub-plans adopted by the administrator that are designed to achieve desired tax or other objectives. As of December 31, 2024, 581,858 shares (the “Initial ESPP Limit”) of the Company’s Common Stock were reserved for issuance under the 2024 ESPP. The 2024 ESPP provides that the number of shares of the Company’s Common Stock reserved and available for issuance under such plan will automatically increase each January 1, beginning on January 1, 2025 and on each January 1 thereafter, by the least of the Initial ESPP Limit, 1% of the outstanding number of shares of the Company’s Common Stock on the immediately preceding December 31, or such lesser amount as determined by the plan administrator.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08"/>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F-40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offering of the Company’s Common Stock under the 2024 ESPP will be for a period of year (the “offering period”). The first offering period under the 2024 ESPP will begin and end on such date or dates as determined by the plan administrator. Subsequent offerings under the 2024 ESPP will generally begin on the first business day occurring on or after each January 1 and July 1 and will end on the last business day occurring before the following July 1 and January 1, respectively. Shares are purchased on the last business day of each offering period (the “exercise date”).</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exercise date of each offering period, the eligible employee is deemed to have exercised the option, at the exercise price, for the lowest of (i) a number of shares of the Company’s Common Stock determined by dividing such employee’s accumulated payroll deductions or contributions on such exercise date by the exercise price; (ii) the number of shares of the Company’s Common Stock determined by dividing $25 by the fair market value of the Company’s Common Stock on the first day of such offering period; or (iii) such lesser number as established by the plan administrator in advance of the offering. The exercise price is equal to the lesser of (i) 85% the fair market value per share of the Company’s Common Stock on the first day of the offering period or (ii) 85% of the fair market value per share of the Company’s Common Stock on the exercise date. The maximum number of shares of the Company’s Common Stock that may be issued to any eligible employee under the 2024 ESPP in a calendar year is a number of shares of the </w:t>
      </w:r>
      <w:r>
        <w:rPr>
          <w:rFonts w:ascii="Times New Roman;Times;Serif" w:hAnsi="Times New Roman;Times;Serif"/>
          <w:b w:val="false"/>
          <w:i w:val="false"/>
          <w:caps w:val="false"/>
          <w:smallCaps w:val="false"/>
          <w:spacing w:val="-1"/>
          <w:sz w:val="20"/>
        </w:rPr>
        <w:t>Company’s Common Stock determined by dividing $25 by the fair market value of the Company’s Common Stock, valued at the start of the offering period,</w:t>
      </w:r>
      <w:r>
        <w:rPr>
          <w:rFonts w:ascii="Times New Roman;Times;Serif" w:hAnsi="Times New Roman;Times;Serif"/>
          <w:b w:val="false"/>
          <w:i w:val="false"/>
          <w:caps w:val="false"/>
          <w:smallCaps w:val="false"/>
          <w:sz w:val="20"/>
        </w:rPr>
        <w:t xml:space="preserve"> or such other lesser number of shares as determined by the plan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not issued any shares under the 2024 ESPP.</w:t>
      </w:r>
    </w:p>
    <w:p>
      <w:pPr>
        <w:pStyle w:val="TextBody"/>
        <w:bidi w:val="0"/>
        <w:spacing w:before="0" w:after="0"/>
        <w:ind w:left="508"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The following table below summarizes the classification of the Company’s stock-based compensation expense related to stock options and restricted</w:t>
      </w:r>
      <w:r>
        <w:rPr>
          <w:rFonts w:ascii="Times New Roman;Times;Serif" w:hAnsi="Times New Roman;Times;Serif"/>
          <w:b w:val="false"/>
          <w:i w:val="false"/>
          <w:caps w:val="false"/>
          <w:smallCaps w:val="false"/>
          <w:sz w:val="20"/>
        </w:rPr>
        <w:t xml:space="preserve"> Common Stock in the consolidated statements of operations and comprehensive loss:</w:t>
      </w:r>
    </w:p>
    <w:tbl>
      <w:tblPr>
        <w:tblW w:w="8843" w:type="dxa"/>
        <w:jc w:val="left"/>
        <w:tblInd w:w="0" w:type="dxa"/>
        <w:tblLayout w:type="fixed"/>
        <w:tblCellMar>
          <w:top w:w="0" w:type="dxa"/>
          <w:left w:w="0" w:type="dxa"/>
          <w:bottom w:w="0" w:type="dxa"/>
          <w:right w:w="0" w:type="dxa"/>
        </w:tblCellMar>
      </w:tblPr>
      <w:tblGrid>
        <w:gridCol w:w="6800"/>
        <w:gridCol w:w="60"/>
        <w:gridCol w:w="229"/>
        <w:gridCol w:w="615"/>
        <w:gridCol w:w="110"/>
        <w:gridCol w:w="110"/>
        <w:gridCol w:w="229"/>
        <w:gridCol w:w="615"/>
        <w:gridCol w:w="75"/>
      </w:tblGrid>
      <w:tr>
        <w:trPr/>
        <w:tc>
          <w:tcPr>
            <w:tcW w:w="6800" w:type="dxa"/>
            <w:tcBorders/>
            <w:vAlign w:val="center"/>
          </w:tcPr>
          <w:p>
            <w:pPr>
              <w:pStyle w:val="TableContents"/>
              <w:bidi w:val="0"/>
              <w:spacing w:before="0" w:after="283"/>
              <w:jc w:val="left"/>
              <w:rPr/>
            </w:pPr>
            <w:r>
              <w:rPr/>
              <w:t> </w:t>
            </w:r>
            <w:r>
              <w:rPr>
                <w:sz w:val="20"/>
              </w:rPr>
              <w:t>Summary of the classification of the company's stock-based compensation expense</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Operating leases </w:t>
      </w:r>
      <w:r>
        <w:rPr>
          <w:rFonts w:ascii="Times New Roman;Times;Serif" w:hAnsi="Times New Roman;Times;Serif"/>
          <w:b w:val="false"/>
          <w:i w:val="false"/>
          <w:caps w:val="false"/>
          <w:smallCaps w:val="false"/>
          <w:sz w:val="20"/>
        </w:rPr>
        <w:t>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lessee, the Company leases certain office spaces under non-cancelable operating leases located in the United States and Canada. All of the Company’s long-term lease agreements expired prior to and as of December 31, 2024. On May 7, 2024, the Company entered into a month-to-month lease in Canada that commenced on June 1, 2024, which was terminated in connection with the Operational Cessation (Note 1).</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entered into a six-month office lease for office space in the United States that qualifies as a short-term lease. Operating lease payments are expensed using the straight-line method as an operating expense over the lease term. Lease expense for the year ended December 31, 2025 and 2024 was $6 and $428,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F-41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consolidated statements of operations and comprehensive income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consolidated balance sheet as total consolidated assets. The Company’s long-lived assets consist primarily of property and equipment, net. As of December 31, 2025 the Company does not have material long-term assets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16. Income Taxes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income before provision for income taxes for the years ended December 31, 2025 and 2024 were:</w:t>
      </w:r>
    </w:p>
    <w:tbl>
      <w:tblPr>
        <w:tblW w:w="8187" w:type="dxa"/>
        <w:jc w:val="left"/>
        <w:tblInd w:w="0" w:type="dxa"/>
        <w:tblLayout w:type="fixed"/>
        <w:tblCellMar>
          <w:top w:w="0" w:type="dxa"/>
          <w:left w:w="0" w:type="dxa"/>
          <w:bottom w:w="0" w:type="dxa"/>
          <w:right w:w="0" w:type="dxa"/>
        </w:tblCellMar>
      </w:tblPr>
      <w:tblGrid>
        <w:gridCol w:w="6125"/>
        <w:gridCol w:w="60"/>
        <w:gridCol w:w="158"/>
        <w:gridCol w:w="615"/>
        <w:gridCol w:w="76"/>
        <w:gridCol w:w="76"/>
        <w:gridCol w:w="158"/>
        <w:gridCol w:w="824"/>
        <w:gridCol w:w="95"/>
      </w:tblGrid>
      <w:tr>
        <w:trPr/>
        <w:tc>
          <w:tcPr>
            <w:tcW w:w="6125" w:type="dxa"/>
            <w:tcBorders/>
            <w:vAlign w:val="center"/>
          </w:tcPr>
          <w:p>
            <w:pPr>
              <w:pStyle w:val="TableContents"/>
              <w:bidi w:val="0"/>
              <w:spacing w:before="0" w:after="283"/>
              <w:jc w:val="left"/>
              <w:rPr>
                <w:sz w:val="20"/>
              </w:rPr>
            </w:pPr>
            <w:r>
              <w:rPr>
                <w:sz w:val="20"/>
              </w:rPr>
              <w:t>Schedule of components of (loss) income before provision for income taxes</w:t>
            </w:r>
          </w:p>
        </w:tc>
        <w:tc>
          <w:tcPr>
            <w:tcW w:w="60"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reconciliation of the effective income tax rate to the U.S. statutory rate is as follows: </w:t>
      </w:r>
    </w:p>
    <w:tbl>
      <w:tblPr>
        <w:tblW w:w="5758" w:type="dxa"/>
        <w:jc w:val="left"/>
        <w:tblInd w:w="0" w:type="dxa"/>
        <w:tblLayout w:type="fixed"/>
        <w:tblCellMar>
          <w:top w:w="0" w:type="dxa"/>
          <w:left w:w="0" w:type="dxa"/>
          <w:bottom w:w="0" w:type="dxa"/>
          <w:right w:w="0" w:type="dxa"/>
        </w:tblCellMar>
      </w:tblPr>
      <w:tblGrid>
        <w:gridCol w:w="3530"/>
        <w:gridCol w:w="60"/>
        <w:gridCol w:w="210"/>
        <w:gridCol w:w="488"/>
        <w:gridCol w:w="412"/>
        <w:gridCol w:w="100"/>
        <w:gridCol w:w="210"/>
        <w:gridCol w:w="488"/>
        <w:gridCol w:w="260"/>
      </w:tblGrid>
      <w:tr>
        <w:trPr/>
        <w:tc>
          <w:tcPr>
            <w:tcW w:w="3530" w:type="dxa"/>
            <w:tcBorders/>
            <w:vAlign w:val="center"/>
          </w:tcPr>
          <w:p>
            <w:pPr>
              <w:pStyle w:val="TableContents"/>
              <w:bidi w:val="0"/>
              <w:spacing w:before="0" w:after="283"/>
              <w:jc w:val="left"/>
              <w:rPr/>
            </w:pPr>
            <w:r>
              <w:rPr/>
              <w:t>Schedule of effective income tax rate</w:t>
            </w:r>
          </w:p>
        </w:tc>
        <w:tc>
          <w:tcPr>
            <w:tcW w:w="6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 Ended December 31,</w:t>
            </w:r>
          </w:p>
        </w:tc>
        <w:tc>
          <w:tcPr>
            <w:tcW w:w="26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41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26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sz w:val="20"/>
              </w:rPr>
            </w:pPr>
            <w:r>
              <w:rPr>
                <w:sz w:val="20"/>
              </w:rPr>
              <w:t>Federal tax benefit at statutory rate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488" w:type="dxa"/>
            <w:tcBorders/>
            <w:shd w:fill="CCEEFF" w:val="clear"/>
            <w:vAlign w:val="center"/>
          </w:tcPr>
          <w:p>
            <w:pPr>
              <w:pStyle w:val="TableContents"/>
              <w:bidi w:val="0"/>
              <w:spacing w:before="0" w:after="283"/>
              <w:jc w:val="right"/>
              <w:rPr>
                <w:sz w:val="20"/>
              </w:rPr>
            </w:pPr>
            <w:r>
              <w:rPr>
                <w:sz w:val="20"/>
              </w:rPr>
              <w:t>21</w:t>
            </w:r>
          </w:p>
        </w:tc>
        <w:tc>
          <w:tcPr>
            <w:tcW w:w="412" w:type="dxa"/>
            <w:tcBorders/>
            <w:shd w:fill="CCEEFF" w:val="clear"/>
            <w:vAlign w:val="center"/>
          </w:tcPr>
          <w:p>
            <w:pPr>
              <w:pStyle w:val="TableContents"/>
              <w:bidi w:val="0"/>
              <w:spacing w:before="0" w:after="283"/>
              <w:jc w:val="lef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488" w:type="dxa"/>
            <w:tcBorders/>
            <w:shd w:fill="CCEEFF" w:val="clear"/>
            <w:vAlign w:val="center"/>
          </w:tcPr>
          <w:p>
            <w:pPr>
              <w:pStyle w:val="TableContents"/>
              <w:bidi w:val="0"/>
              <w:spacing w:before="0" w:after="283"/>
              <w:jc w:val="right"/>
              <w:rPr>
                <w:sz w:val="20"/>
              </w:rPr>
            </w:pPr>
            <w:r>
              <w:rPr>
                <w:sz w:val="20"/>
              </w:rPr>
              <w:t>21</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sz w:val="20"/>
              </w:rPr>
            </w:pPr>
            <w:r>
              <w:rPr>
                <w:sz w:val="20"/>
              </w:rPr>
              <w:t>State tax benefit, net of federal benefit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sz w:val="20"/>
              </w:rPr>
            </w:pPr>
            <w:r>
              <w:rPr>
                <w:sz w:val="20"/>
              </w:rPr>
              <w:t>8</w:t>
            </w:r>
          </w:p>
        </w:tc>
        <w:tc>
          <w:tcPr>
            <w:tcW w:w="412" w:type="dxa"/>
            <w:tcBorders/>
            <w:shd w:fill="FFFFFF" w:val="clear"/>
            <w:vAlign w:val="center"/>
          </w:tcPr>
          <w:p>
            <w:pPr>
              <w:pStyle w:val="TableContents"/>
              <w:bidi w:val="0"/>
              <w:spacing w:before="0" w:after="283"/>
              <w:jc w:val="lef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sz w:val="20"/>
              </w:rPr>
            </w:pPr>
            <w:r>
              <w:rPr>
                <w:sz w:val="20"/>
              </w:rPr>
              <w:t>8</w:t>
            </w:r>
          </w:p>
        </w:tc>
        <w:tc>
          <w:tcPr>
            <w:tcW w:w="260" w:type="dxa"/>
            <w:tcBorders/>
            <w:shd w:fill="FFFFFF" w:val="clear"/>
            <w:vAlign w:val="center"/>
          </w:tcPr>
          <w:p>
            <w:pPr>
              <w:pStyle w:val="TableContents"/>
              <w:bidi w:val="0"/>
              <w:spacing w:before="0" w:after="283"/>
              <w:jc w:val="left"/>
              <w:rPr>
                <w:sz w:val="20"/>
              </w:rPr>
            </w:pPr>
            <w:r>
              <w:rPr>
                <w:sz w:val="20"/>
              </w:rPr>
              <w:t>%</w:t>
            </w:r>
          </w:p>
        </w:tc>
      </w:tr>
      <w:tr>
        <w:trPr/>
        <w:tc>
          <w:tcPr>
            <w:tcW w:w="3530" w:type="dxa"/>
            <w:tcBorders/>
            <w:shd w:fill="CCEEFF" w:val="clear"/>
            <w:vAlign w:val="center"/>
          </w:tcPr>
          <w:p>
            <w:pPr>
              <w:pStyle w:val="TableContents"/>
              <w:bidi w:val="0"/>
              <w:spacing w:before="0" w:after="283"/>
              <w:jc w:val="left"/>
              <w:rPr>
                <w:sz w:val="20"/>
              </w:rPr>
            </w:pPr>
            <w:r>
              <w:rPr>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w:t>
            </w:r>
          </w:p>
        </w:tc>
        <w:tc>
          <w:tcPr>
            <w:tcW w:w="412" w:type="dxa"/>
            <w:tcBorders/>
            <w:shd w:fill="CCEEFF" w:val="clear"/>
            <w:vAlign w:val="center"/>
          </w:tcPr>
          <w:p>
            <w:pPr>
              <w:pStyle w:val="TableContents"/>
              <w:bidi w:val="0"/>
              <w:spacing w:before="0" w:after="283"/>
              <w:jc w:val="lef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412"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following table summarizes our deferred tax asset: </w:t>
      </w:r>
    </w:p>
    <w:tbl>
      <w:tblPr>
        <w:tblW w:w="4707" w:type="dxa"/>
        <w:jc w:val="left"/>
        <w:tblInd w:w="0" w:type="dxa"/>
        <w:tblLayout w:type="fixed"/>
        <w:tblCellMar>
          <w:top w:w="0" w:type="dxa"/>
          <w:left w:w="0" w:type="dxa"/>
          <w:bottom w:w="0" w:type="dxa"/>
          <w:right w:w="0" w:type="dxa"/>
        </w:tblCellMar>
      </w:tblPr>
      <w:tblGrid>
        <w:gridCol w:w="2645"/>
        <w:gridCol w:w="60"/>
        <w:gridCol w:w="141"/>
        <w:gridCol w:w="734"/>
        <w:gridCol w:w="90"/>
        <w:gridCol w:w="67"/>
        <w:gridCol w:w="141"/>
        <w:gridCol w:w="734"/>
        <w:gridCol w:w="95"/>
      </w:tblGrid>
      <w:tr>
        <w:trPr/>
        <w:tc>
          <w:tcPr>
            <w:tcW w:w="2645" w:type="dxa"/>
            <w:tcBorders/>
            <w:vAlign w:val="center"/>
          </w:tcPr>
          <w:p>
            <w:pPr>
              <w:pStyle w:val="TableContents"/>
              <w:bidi w:val="0"/>
              <w:spacing w:before="0" w:after="283"/>
              <w:jc w:val="left"/>
              <w:rPr>
                <w:sz w:val="20"/>
              </w:rPr>
            </w:pPr>
            <w:r>
              <w:rPr>
                <w:sz w:val="20"/>
              </w:rPr>
              <w:t>Schedule of deferred tax asset</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(32,524</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asset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differs from the expense that would result from applying statutory rates to income before income taxes. The differences primarily result from changes in valuation allowance.</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F-42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is in a net deferred tax asset position before valuation allowance. The future realization of the tax benefits from existing temporary differences and tax attributes ultimately depends on the existence of sufficient future taxable income. In assessing the realization of the deferred tax assets, the Company considers whether deferred tax assets will not be realized. The Company considers projected future taxable income, scheduled reversal of existing deferred tax liabilities, and tax planning strategies in making this assessment. As of December 31, 2025 and 2024, the Company has considered all available evidence, both positive and negative, and determined that it is more likely than not that the Company’s net deferred tax assets will not be realized. Accordingly, the Company maintained a full valuation allowance as of December 31, 2025 and 2024. The change in the valuation allowance for years ended December 31, 2025 and 2024 was an increase of $1,062 and $5,422, respectively.</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net operating loss carryforwards totaling $71,126, which are available to reduce the Company’s future taxes and have an unlimited carryforward period. As of December 31, 2025, the Company had state net operating loss carryforwards totaling $41,027.</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future realization of the net operating loss carryforwards may be limited by the change in ownership rules under Section 382 of the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 change of ownership has occurred, or whether there have been multiple ownership changes since its formation. Any limitation may result in expiration of a portion of the net operating loss carryforwards or research and development credit carryforward before utilization.</w:t>
      </w:r>
      <w:r>
        <w:rPr>
          <w:rFonts w:ascii="Times New Roman;Times;Serif" w:hAnsi="Times New Roman;Times;Serif"/>
          <w:b w:val="false"/>
          <w:i w:val="false"/>
          <w:caps w:val="false"/>
          <w:smallCaps w:val="false"/>
          <w:sz w:val="24"/>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federal tax jurisdiction and in various state and foreign jurisdictions in which it operates and is therefore subject to tax examination by various taxing authorities. Since the Company is in a loss carryforward position, the Company is generally subject to examination by the U.S. federal, foreign, state and local income tax authorities for all tax years in which a loss carryforward is available. The Company is currently not under examination by the Internal Revenue Service or any other jurisdiction for any tax years. The Company has not recorded any interest or penalties on any unrecognized tax benefits as of December 31, 2025 and 2024.</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recognized in the consolidated financial statements following a more-likely-than-not threshold for financial statement recognition and measurement of a tax position taken or expected to be taken in a tax return. When uncertain tax positions exist, the Company recognizes the tax benefit of tax positions to the extent that the benefit will more likely than not be realized. As of December 31, 2025 and 2024, the Company has not identified any uncertain tax positions. The Company will recognize interest and penalties, if any, related to uncertain tax positions in income tax expense. As of December 31, 2025, no interest or penalties have been accrued.</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Net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the two-class method when computing net (income) loss per share attributable to Common Stockholders as the Company has </w:t>
      </w:r>
      <w:r>
        <w:rPr>
          <w:rFonts w:ascii="Times New Roman;Times;Serif" w:hAnsi="Times New Roman;Times;Serif"/>
          <w:b w:val="false"/>
          <w:i w:val="false"/>
          <w:caps w:val="false"/>
          <w:smallCaps w:val="false"/>
          <w:spacing w:val="-1"/>
          <w:sz w:val="20"/>
        </w:rPr>
        <w:t>issued shares that meet the definition of participating securities. The two-class method determines net loss per share for each class of common and</w:t>
      </w:r>
      <w:r>
        <w:rPr>
          <w:rFonts w:ascii="Times New Roman;Times;Serif" w:hAnsi="Times New Roman;Times;Serif"/>
          <w:b w:val="false"/>
          <w:i w:val="false"/>
          <w:caps w:val="false"/>
          <w:smallCaps w:val="false"/>
          <w:sz w:val="20"/>
        </w:rPr>
        <w:t xml:space="preserve">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There is no allocation required under the two-class method during periods of loss since the participating securities do not have a contractual obligation to share in the losses of the Company. The convertible preferred stock was determined to be participating security, and for all periods presented in which the convertible preferred stock was outstanding, the Company incurred a net loss; therefore, no allocation is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share available to Common Stockholders is computed by dividing the net loss attributable to Common Stockholders by the weighted-average number of common shares outstanding for the periods presented. The weighted-average number of Common Stock outstanding excludes </w:t>
      </w:r>
      <w:r>
        <w:rPr>
          <w:rFonts w:ascii="Times New Roman;Times;Serif" w:hAnsi="Times New Roman;Times;Serif"/>
          <w:b w:val="false"/>
          <w:i w:val="false"/>
          <w:caps w:val="false"/>
          <w:smallCaps w:val="false"/>
          <w:spacing w:val="-1"/>
          <w:sz w:val="20"/>
        </w:rPr>
        <w:t xml:space="preserve">any unvested shares that have not met their vesting conditions during the periods presented. </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Diluted net loss per share reflects the potential dilution that could occur using the treasury stock and if-converted methods, as applicable. </w:t>
      </w:r>
      <w:r>
        <w:rPr>
          <w:rFonts w:ascii="Times New Roman;Times;Serif" w:hAnsi="Times New Roman;Times;Serif"/>
          <w:b w:val="false"/>
          <w:i w:val="false"/>
          <w:caps w:val="false"/>
          <w:smallCaps w:val="false"/>
          <w:spacing w:val="-1"/>
          <w:sz w:val="20"/>
        </w:rPr>
        <w:t>For purposes of this calculation, outstanding stock options and</w:t>
      </w:r>
      <w:r>
        <w:rPr>
          <w:rFonts w:ascii="Times New Roman;Times;Serif" w:hAnsi="Times New Roman;Times;Serif"/>
          <w:b w:val="false"/>
          <w:i w:val="false"/>
          <w:caps w:val="false"/>
          <w:smallCaps w:val="false"/>
          <w:sz w:val="20"/>
        </w:rPr>
        <w:t xml:space="preserve"> warrants to purchase Common Stock, Unvested Shares, unvested RSUs, Senior Secured Notes including accrued interest and the potential issuance of Common Stock upon the conversion of the Convertible Preferred Stock prior to the Closing of the Merger were considered Common Stock equivalents, but were excluded from the calculation of diluted net loss per share for all periods in which the Company reported a net loss, as their effect was anti-dilutive.</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508"/>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F-43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firstLine="5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w:t>
      </w:r>
    </w:p>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509" w:right="0" w:hanging="0"/>
        <w:jc w:val="left"/>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The following table sets forth the computation of net loss per share:</w:t>
      </w:r>
    </w:p>
    <w:tbl>
      <w:tblPr>
        <w:tblW w:w="9045" w:type="dxa"/>
        <w:jc w:val="left"/>
        <w:tblInd w:w="0" w:type="dxa"/>
        <w:tblLayout w:type="fixed"/>
        <w:tblCellMar>
          <w:top w:w="0" w:type="dxa"/>
          <w:left w:w="0" w:type="dxa"/>
          <w:bottom w:w="0" w:type="dxa"/>
          <w:right w:w="0" w:type="dxa"/>
        </w:tblCellMar>
      </w:tblPr>
      <w:tblGrid>
        <w:gridCol w:w="6515"/>
        <w:gridCol w:w="60"/>
        <w:gridCol w:w="125"/>
        <w:gridCol w:w="1055"/>
        <w:gridCol w:w="60"/>
        <w:gridCol w:w="60"/>
        <w:gridCol w:w="125"/>
        <w:gridCol w:w="950"/>
        <w:gridCol w:w="95"/>
      </w:tblGrid>
      <w:tr>
        <w:trPr/>
        <w:tc>
          <w:tcPr>
            <w:tcW w:w="6515" w:type="dxa"/>
            <w:tcBorders/>
            <w:vAlign w:val="center"/>
          </w:tcPr>
          <w:p>
            <w:pPr>
              <w:pStyle w:val="TableContents"/>
              <w:bidi w:val="0"/>
              <w:spacing w:before="0" w:after="283"/>
              <w:jc w:val="left"/>
              <w:rPr/>
            </w:pPr>
            <w:r>
              <w:rPr>
                <w:sz w:val="20"/>
              </w:rPr>
              <w:t>Schedule of potential common shares, presented based on amounts outstanding</w:t>
            </w: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101,862,348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227,397,251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29,434,511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 attributable to Common Stockholders,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84" w:right="84" w:firstLine="508"/>
        <w:jc w:val="left"/>
        <w:rPr>
          <w:rFonts w:ascii="Times New Roman;Times;Serif" w:hAnsi="Times New Roman;Times;Serif"/>
          <w:b w:val="false"/>
          <w:i w:val="false"/>
          <w:caps w:val="false"/>
          <w:smallCaps w:val="false"/>
          <w:color w:val="010302"/>
          <w:sz w:val="20"/>
        </w:rPr>
      </w:pPr>
      <w:r>
        <w:rPr>
          <w:rFonts w:ascii="Times New Roman;Times;Serif" w:hAnsi="Times New Roman;Times;Serif"/>
          <w:b w:val="false"/>
          <w:i w:val="false"/>
          <w:caps w:val="false"/>
          <w:smallCaps w:val="false"/>
          <w:color w:val="010302"/>
          <w:sz w:val="20"/>
        </w:rPr>
        <w:t>The table below presents Common Stock equivalents that were excluded from the calculation of diluted net loss per share for the periods presented.</w:t>
      </w:r>
    </w:p>
    <w:tbl>
      <w:tblPr>
        <w:tblW w:w="8559" w:type="dxa"/>
        <w:jc w:val="left"/>
        <w:tblInd w:w="0" w:type="dxa"/>
        <w:tblLayout w:type="fixed"/>
        <w:tblCellMar>
          <w:top w:w="0" w:type="dxa"/>
          <w:left w:w="0" w:type="dxa"/>
          <w:bottom w:w="0" w:type="dxa"/>
          <w:right w:w="0" w:type="dxa"/>
        </w:tblCellMar>
      </w:tblPr>
      <w:tblGrid>
        <w:gridCol w:w="6515"/>
        <w:gridCol w:w="60"/>
        <w:gridCol w:w="79"/>
        <w:gridCol w:w="342"/>
        <w:gridCol w:w="79"/>
        <w:gridCol w:w="79"/>
        <w:gridCol w:w="79"/>
        <w:gridCol w:w="1251"/>
        <w:gridCol w:w="75"/>
      </w:tblGrid>
      <w:tr>
        <w:trPr/>
        <w:tc>
          <w:tcPr>
            <w:tcW w:w="6515" w:type="dxa"/>
            <w:tcBorders/>
            <w:vAlign w:val="center"/>
          </w:tcPr>
          <w:p>
            <w:pPr>
              <w:pStyle w:val="TableContents"/>
              <w:bidi w:val="0"/>
              <w:spacing w:before="0" w:after="283"/>
              <w:jc w:val="left"/>
              <w:rPr/>
            </w:pPr>
            <w:r>
              <w:rPr>
                <w:sz w:val="20"/>
              </w:rPr>
              <w:t>Schedule of potential common shares, presented based on amounts outstanding</w:t>
            </w:r>
            <w:r>
              <w:rPr/>
              <w:t> </w:t>
            </w:r>
          </w:p>
        </w:tc>
        <w:tc>
          <w:tcPr>
            <w:tcW w:w="60" w:type="dxa"/>
            <w:tcBorders/>
            <w:vAlign w:val="center"/>
          </w:tcPr>
          <w:p>
            <w:pPr>
              <w:pStyle w:val="TableContents"/>
              <w:bidi w:val="0"/>
              <w:spacing w:before="0" w:after="283"/>
              <w:jc w:val="left"/>
              <w:rPr/>
            </w:pPr>
            <w:r>
              <w:rPr/>
              <w:t> </w:t>
            </w:r>
          </w:p>
        </w:tc>
        <w:tc>
          <w:tcPr>
            <w:tcW w:w="421"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Notes, including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11,499,982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1,129,630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29,449,502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former member of the Board of Directors of Legacy Zapata that left the Board of Directors in March 2024 also provided consulting services to the Company. For the year ended December 31, 2025 and 2024, the Company remitted fees of $0 and $48 to the member of its Board of Directors for these services,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Andretti Agreements </w:t>
      </w:r>
    </w:p>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Legacy Zapata entered into a sponsorship agreement for marketing services to be provided by Andretti Autosport Holding Company, LLC (f/k/a Andretti Autosport Holding Company, Inc., “Andretti Global”). The total commitment under the sponsorship agreement is $8,000 and is due and payable over the period of February 2022 through December 2024. Through December 31, 2024, the Company paid $3,500, leaving $4,500 included in accounts payable as of December 31, 2024. During the year ended December 31, 2024, the Company recognized $2,783 of expenses under the sponsorship agreement. On March 28, 2024, Legacy Zapata entered into a sponsorship agreement with Andretti Autosport 1, LLC, an affiliate of Andretti Global. The agreement expired on December 31, 2024. Subject to the agreement, Legacy Zapata is responsible for payments under the sponsorship agreement in an amount totaling $1,000 that was recognized as expense during the year ended December 31, 2024 and was outstanding as of that date. During the fourth quarter of 2025, the Company entered into a Conversion Agreement that converted $5,504 of accounts payable owed to Andretti Global and its affiliate, Andretti Autosport 1, LLC, less an accounts receivable balance of $1,567, which was subsequently converted into the Company’s Common Stock in the fourth quarter of 2025. As of December 31, 2025, no remaining balance is owed Andretti Global and its affiliates.</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AAC’s affiliates, Andretti Global, has preexisting contractual relationships with Legacy Zapata. In February 2022, Andretti Global entered into i) an enterprise solution subscription agreement and ii) a sponsorship agreement with Legacy Zapata, both of which expire on December 31, 2024. During the year ended December 31, 2025 and 2024, the Company recorded $0 and $1,300 in revenue related to the enterprise solution subscription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F-44 </w:t>
            </w:r>
          </w:p>
        </w:tc>
      </w:tr>
    </w:tbl>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lineRule="auto" w:line="276"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ZAPATA QUANTUM, INC.</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NOTES TO CONSOLIDATED FINANCIAL STATEMENTS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8"/>
              </w:rPr>
              <w:t>(Dollar amounts in thousands, except per share and share amounts)</w:t>
            </w:r>
          </w:p>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Officers and Directors</w:t>
      </w:r>
    </w:p>
    <w:p>
      <w:pPr>
        <w:pStyle w:val="TextBody"/>
        <w:bidi w:val="0"/>
        <w:spacing w:before="0" w:after="0"/>
        <w:ind w:left="0" w:right="0" w:firstLine="554"/>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Chief Executive Officer 32,500,000 shares of the Company’s restricted stock with an aggregate fair value of $13 or $0.0004 per share. The restricted stock grant vests monthly over 24 months.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granted its Chairman of the Board 32,500,000 shares of the Company’s restricted stock with an aggregate fair value of $13 or $0.0004 per share. The restricted stock grant vests monthly over 24 months.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subsequent to December 31, 2025 and through March 31, 2026, which represents the date these consolidated financial statements were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F-45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56,816,391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1" w:name="s1_026"/>
      <w:bookmarkEnd w:id="451"/>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us in connection with the issuance and distribution of the securities being registered hereunder. All of the amounts shown are estimates.</w:t>
      </w:r>
    </w:p>
    <w:p>
      <w:pPr>
        <w:pStyle w:val="TextBody"/>
        <w:bidi w:val="0"/>
        <w:spacing w:before="0" w:after="0"/>
        <w:ind w:left="0" w:right="0" w:hanging="0"/>
        <w:jc w:val="both"/>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2480"/>
        <w:gridCol w:w="60"/>
        <w:gridCol w:w="125"/>
        <w:gridCol w:w="980"/>
        <w:gridCol w:w="75"/>
      </w:tblGrid>
      <w:tr>
        <w:trPr/>
        <w:tc>
          <w:tcPr>
            <w:tcW w:w="2480" w:type="dxa"/>
            <w:tcBorders/>
            <w:shd w:fill="CCEEFF" w:val="clear"/>
            <w:vAlign w:val="center"/>
          </w:tcPr>
          <w:p>
            <w:pPr>
              <w:pStyle w:val="TableContents"/>
              <w:bidi w:val="0"/>
              <w:spacing w:before="0" w:after="283"/>
              <w:jc w:val="left"/>
              <w:rPr>
                <w:sz w:val="20"/>
              </w:rPr>
            </w:pPr>
            <w:r>
              <w:rPr>
                <w:sz w:val="20"/>
              </w:rPr>
              <w:t>SEC registration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6,904.78</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Printing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80" w:type="dxa"/>
            <w:tcBorders/>
            <w:shd w:fill="FFFFFF" w:val="clear"/>
            <w:vAlign w:val="center"/>
          </w:tcPr>
          <w:p>
            <w:pPr>
              <w:pStyle w:val="TableContents"/>
              <w:bidi w:val="0"/>
              <w:spacing w:before="0" w:after="283"/>
              <w:jc w:val="right"/>
              <w:rPr/>
            </w:pPr>
            <w:r>
              <w:rPr/>
              <w:t>1,350.00</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80" w:type="dxa"/>
            <w:tcBorders/>
            <w:shd w:fill="FFFFFF" w:val="clear"/>
            <w:vAlign w:val="center"/>
          </w:tcPr>
          <w:p>
            <w:pPr>
              <w:pStyle w:val="TableContents"/>
              <w:bidi w:val="0"/>
              <w:spacing w:before="0" w:after="283"/>
              <w:jc w:val="right"/>
              <w:rPr/>
            </w:pPr>
            <w:r>
              <w:rPr/>
              <w:t>75,000.00</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N/A</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93,254.78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organizational documents provide officers and directors with indemnification to the fullest extent permitted by applicable law. A director or officer of the Company shall not be personally liable to the Company or its stockholders for monetary damages for breach of fiduciary duty as a director or officer, except to the extent such exemption from liability or limitation thereof is not permitted under the DGCL, as the same exists or may hereafter be amended.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 Any amendment, modification or repeal of the foregoing sentence shall not adversely affect any right or protection of a director of the Company in respect of any act or omission occurring prior to the time of such amendment, modification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applicable law, the Company is authorized to advance indemnification related expenses to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Recent Sales of Unregistered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under “The Private Placements” is incorporated herein by reference. Such transactions were exempt from registration under the Securities Act of 1933 pursuant to Section 4(a)(2) thereof and Rule 506(b) promulgated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issued 10,415 shares of the Company’s Common Stock to a consultant pursuant to a stock option exercise. The transaction was exempt from registration pursuant to Section 4(a)(2) of the Securities Act of 1933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Securities Purchase Agreement (the “Purchase Agreement”) with accredited investors pursuant to which the Company sold and issued the Notes and the Warrants (the “2025 Notes”) and the “2025 Warrants”, respectively) for total gross proceeds of $3,000,000. The Notes have a principal amount equal to the loan amount (subject to acceleration upon the occurrence of certain customary events of default or a change of control), and bear 10% per annum interest. The Notes are convertible into shares of the Company’s common stock at the option of the holder based on a conversion price of $0.04 per share, subject to certain adjustments. The maturity date for these Notes was extended to June 12, 2027. The 2025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cashlessly by the 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entered into a Consent Agreement (the “Consent”) with one of the Company’s two secured lenders prior to the issuance of the Notes in the offering described above (the “Existing Lender”). Pursuant to the Consent, the Existing Lender waived certain rights under its outstanding Senior Secured Promissory Note in the original principal amount of $1,000,000 which was issued by Zapata Computing, Inc., the Company’s subsidiary and remains outstanding following the offering (the “Existing Note”). The Existing Lender waived any default or event default under such Existing Note in connection with the transactions under the Purchase Agreement described above or existing as of the date of the Consent. In exchange for such waiver, the Company agreed to issue the Existing Lender 34,000,000 shares of common stock.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evidenced by the 2025 Notes are secured by the assets of the Company and its subsidiaries pursuant to a Security Agreement entered into between the Company, its subsidiaries and the collateral agent on behalf of the 2025 Note holders dated as of the date of the Purchase Agreement. In addition, the Company entered into an Intercreditor Agreement with the collateral agent and the Existing Lender providing for the relative rights with respect to the secured obligations of the Company and its subsidiaries in favor of the secured lenders with respect to the Notes and the Existing Note.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12, 2025 through June 18, 2025, the Company entered into Conversion Agreements (the “Conversion Agreements”) with certain creditors of the Company under which such creditors agreed to exchange a total of $10,100,256 of accounts payable and other liabilities to such creditors in exchange for the Company’s issuance of 27,330,000 shares of the Company’s Common Stock to such creditors. In addition, two of these creditors will be receiving convertible preferred stock in lieu of common stock. In June 2025, the Company entered into a series of Conversion Agreements with certain creditors. Pursuant to the Conversion Agreements, certain creditors agreed to exchange $4,429,000 of accounts payable and accrued expenses for the issuance of 11,983 shares of the Company’s Series C Convertible Preferred Stock, which subject to beneficial ownership limitations, are convertible into 11,983,000 shares of Common Stock.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pStyle w:val="TextBody"/>
        <w:bidi w:val="0"/>
        <w:ind w:left="0" w:right="0" w:firstLine="554"/>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issued a total of 11,983 shares of the Company’s Series C Convertible Preferred Stock (convertible into 11,983,000 shares of Common Stock) with a fair value of $12 to two creditors in settlement of $4,429,000 of accounts payable and accrued expenses pursuant to the Conversion Agreements As a result of the issuance of the Series C Convertible preferred stock, the Company recognized a gain on extinguishment of liabilities of $4,417,000. </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November 2025, the Company entered into securities purchase agreements with accredited investors, pursuant to which the Company offered and sold 15,000 shares of the Company’s Series A Convertible Preferred Stock at a purchase price of $100 per share for total gross proceeds of $1,500,000.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issued a total of 15,000,000 shares of Common Stock pursuant to the automatic conversion of shares of Series A Convertible Preferred Stock upon completion of certain trigger events. The conversions were exempt from registration under the Securities Act pursuant to Section 3(a)(9) thereof as an exchange of securities for no other consideration other than the securities exchanged.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the offers and sales of the securities described above were exempt from registration pursuant to Section 4(a)(2) of the Securities Act of 1933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(a) See the </w:t>
      </w:r>
      <w:hyperlink w:anchor="s1_027">
        <w:r>
          <w:rPr>
            <w:rStyle w:val="InternetLink"/>
            <w:rFonts w:ascii="Times New Roman;Times;Serif" w:hAnsi="Times New Roman;Times;Serif"/>
            <w:b w:val="false"/>
            <w:i w:val="false"/>
            <w:caps w:val="false"/>
            <w:smallCaps w:val="false"/>
            <w:sz w:val="20"/>
          </w:rPr>
          <w:t>Exhibit Index</w:t>
        </w:r>
      </w:hyperlink>
      <w:r>
        <w:rPr>
          <w:rFonts w:ascii="Times New Roman;Times;Serif" w:hAnsi="Times New Roman;Times;Serif"/>
          <w:b w:val="false"/>
          <w:i w:val="false"/>
          <w:caps w:val="false"/>
          <w:smallCaps w:val="false"/>
          <w:sz w:val="20"/>
        </w:rPr>
        <w:t xml:space="preserve"> on the page immediately preceding the signature page hereto for a list of exhibits filed as part of this Registration Statement on Form S-1, which Exhibit Index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financial statement schedules are provided because the information called for is not required or is shown either in the financial statements or the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2" w:name="s1_027"/>
      <w:bookmarkEnd w:id="452"/>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6446"/>
        <w:gridCol w:w="60"/>
        <w:gridCol w:w="875"/>
        <w:gridCol w:w="60"/>
        <w:gridCol w:w="514"/>
        <w:gridCol w:w="61"/>
        <w:gridCol w:w="669"/>
        <w:gridCol w:w="61"/>
        <w:gridCol w:w="734"/>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9"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Incorporated by Reference</w:t>
            </w:r>
          </w:p>
        </w:tc>
      </w:tr>
      <w:tr>
        <w:trPr/>
        <w:tc>
          <w:tcPr>
            <w:tcW w:w="66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644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vAlign w:val="center"/>
          </w:tcPr>
          <w:p>
            <w:pPr>
              <w:pStyle w:val="TableContents"/>
              <w:bidi w:val="0"/>
              <w:spacing w:before="0" w:after="283"/>
              <w:jc w:val="left"/>
              <w:rPr/>
            </w:pPr>
            <w:r>
              <w:rPr/>
              <w:t> </w:t>
            </w:r>
          </w:p>
        </w:tc>
        <w:tc>
          <w:tcPr>
            <w:tcW w:w="51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Form</w:t>
            </w:r>
          </w:p>
        </w:tc>
        <w:tc>
          <w:tcPr>
            <w:tcW w:w="61" w:type="dxa"/>
            <w:tcBorders/>
            <w:vAlign w:val="center"/>
          </w:tcPr>
          <w:p>
            <w:pPr>
              <w:pStyle w:val="TableContents"/>
              <w:bidi w:val="0"/>
              <w:spacing w:before="0" w:after="283"/>
              <w:jc w:val="left"/>
              <w:rPr/>
            </w:pPr>
            <w:r>
              <w:rPr/>
              <w:t> </w:t>
            </w:r>
          </w:p>
        </w:tc>
        <w:tc>
          <w:tcPr>
            <w:tcW w:w="66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1" w:type="dxa"/>
            <w:tcBorders/>
            <w:vAlign w:val="center"/>
          </w:tcPr>
          <w:p>
            <w:pPr>
              <w:pStyle w:val="TableContents"/>
              <w:bidi w:val="0"/>
              <w:spacing w:before="0" w:after="283"/>
              <w:jc w:val="left"/>
              <w:rPr/>
            </w:pPr>
            <w:r>
              <w:rPr/>
              <w:t> </w:t>
            </w:r>
          </w:p>
        </w:tc>
        <w:tc>
          <w:tcPr>
            <w:tcW w:w="73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665" w:type="dxa"/>
            <w:tcBorders/>
            <w:shd w:fill="CCEEFF" w:val="clear"/>
            <w:vAlign w:val="center"/>
          </w:tcPr>
          <w:p>
            <w:pPr>
              <w:pStyle w:val="TableContents"/>
              <w:bidi w:val="0"/>
              <w:spacing w:before="0" w:after="283"/>
              <w:jc w:val="left"/>
              <w:rPr>
                <w:sz w:val="20"/>
              </w:rPr>
            </w:pPr>
            <w:r>
              <w:rPr>
                <w:sz w:val="20"/>
              </w:rPr>
              <w:t>2.1</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3">
              <w:r>
                <w:rPr>
                  <w:rStyle w:val="InternetLink"/>
                  <w:sz w:val="20"/>
                </w:rPr>
                <w:t>Business Combination Agreement, dated as of September 6, 2023, by and among the Company, Tigre Merger Sub, Inc. and Legacy Zapata</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2.1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9/6/23</w:t>
            </w:r>
          </w:p>
        </w:tc>
      </w:tr>
      <w:tr>
        <w:trPr/>
        <w:tc>
          <w:tcPr>
            <w:tcW w:w="665" w:type="dxa"/>
            <w:tcBorders/>
            <w:shd w:fill="FFFFFF" w:val="clear"/>
            <w:vAlign w:val="center"/>
          </w:tcPr>
          <w:p>
            <w:pPr>
              <w:pStyle w:val="TableContents"/>
              <w:bidi w:val="0"/>
              <w:spacing w:before="0" w:after="283"/>
              <w:jc w:val="left"/>
              <w:rPr>
                <w:sz w:val="20"/>
              </w:rPr>
            </w:pPr>
            <w:r>
              <w:rPr>
                <w:sz w:val="20"/>
              </w:rPr>
              <w:t>3.1</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4">
              <w:r>
                <w:rPr>
                  <w:rStyle w:val="InternetLink"/>
                  <w:sz w:val="20"/>
                </w:rPr>
                <w:t>Certificate of Incorporation</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3.1</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4/3/24</w:t>
            </w:r>
          </w:p>
        </w:tc>
      </w:tr>
      <w:tr>
        <w:trPr/>
        <w:tc>
          <w:tcPr>
            <w:tcW w:w="665" w:type="dxa"/>
            <w:tcBorders/>
            <w:shd w:fill="CCEEFF" w:val="clear"/>
            <w:vAlign w:val="center"/>
          </w:tcPr>
          <w:p>
            <w:pPr>
              <w:pStyle w:val="TableContents"/>
              <w:bidi w:val="0"/>
              <w:spacing w:before="0" w:after="283"/>
              <w:jc w:val="left"/>
              <w:rPr>
                <w:sz w:val="20"/>
              </w:rPr>
            </w:pPr>
            <w:r>
              <w:rPr>
                <w:sz w:val="20"/>
              </w:rPr>
              <w:t>3.1(a)</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5">
              <w:r>
                <w:rPr>
                  <w:rStyle w:val="InternetLink"/>
                  <w:sz w:val="20"/>
                </w:rPr>
                <w:t>Certificate of Amendment to Certificate of Incorporation</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3.1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8/27/25</w:t>
            </w:r>
          </w:p>
        </w:tc>
      </w:tr>
      <w:tr>
        <w:trPr/>
        <w:tc>
          <w:tcPr>
            <w:tcW w:w="665" w:type="dxa"/>
            <w:tcBorders/>
            <w:shd w:fill="FFFFFF" w:val="clear"/>
            <w:vAlign w:val="center"/>
          </w:tcPr>
          <w:p>
            <w:pPr>
              <w:pStyle w:val="TableContents"/>
              <w:bidi w:val="0"/>
              <w:spacing w:before="0" w:after="283"/>
              <w:jc w:val="left"/>
              <w:rPr>
                <w:sz w:val="20"/>
              </w:rPr>
            </w:pPr>
            <w:r>
              <w:rPr>
                <w:sz w:val="20"/>
              </w:rPr>
              <w:t>3.2</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6">
              <w:r>
                <w:rPr>
                  <w:rStyle w:val="InternetLink"/>
                  <w:sz w:val="20"/>
                </w:rPr>
                <w:t>Bylaws of Zapata Computing Holdings Inc.</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3.2</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4/3/24</w:t>
            </w:r>
          </w:p>
        </w:tc>
      </w:tr>
      <w:tr>
        <w:trPr/>
        <w:tc>
          <w:tcPr>
            <w:tcW w:w="665" w:type="dxa"/>
            <w:tcBorders/>
            <w:shd w:fill="CCEEFF" w:val="clear"/>
            <w:vAlign w:val="center"/>
          </w:tcPr>
          <w:p>
            <w:pPr>
              <w:pStyle w:val="TableContents"/>
              <w:bidi w:val="0"/>
              <w:spacing w:before="0" w:after="283"/>
              <w:jc w:val="left"/>
              <w:rPr>
                <w:sz w:val="20"/>
              </w:rPr>
            </w:pPr>
            <w:r>
              <w:rPr>
                <w:sz w:val="20"/>
              </w:rPr>
              <w:t>3.3</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7">
              <w:r>
                <w:rPr>
                  <w:rStyle w:val="InternetLink"/>
                  <w:sz w:val="20"/>
                </w:rPr>
                <w:t>Certificate of Designations, of Preferences, Rights and Limitations of the Series A Convertible Preferred Stock</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4.1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10/28/25</w:t>
            </w:r>
          </w:p>
        </w:tc>
      </w:tr>
      <w:tr>
        <w:trPr/>
        <w:tc>
          <w:tcPr>
            <w:tcW w:w="665" w:type="dxa"/>
            <w:tcBorders/>
            <w:shd w:fill="FFFFFF" w:val="clear"/>
            <w:vAlign w:val="center"/>
          </w:tcPr>
          <w:p>
            <w:pPr>
              <w:pStyle w:val="TableContents"/>
              <w:bidi w:val="0"/>
              <w:spacing w:before="0" w:after="283"/>
              <w:jc w:val="left"/>
              <w:rPr>
                <w:sz w:val="20"/>
              </w:rPr>
            </w:pPr>
            <w:r>
              <w:rPr>
                <w:sz w:val="20"/>
              </w:rPr>
              <w:t>3.4</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8">
              <w:r>
                <w:rPr>
                  <w:rStyle w:val="InternetLink"/>
                  <w:sz w:val="20"/>
                </w:rPr>
                <w:t>Certificate of Designations of Preferences, Rights and Limitations of the Series C Convertible Preferred Stock</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4.1</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7/24/25</w:t>
            </w:r>
          </w:p>
        </w:tc>
      </w:tr>
      <w:tr>
        <w:trPr/>
        <w:tc>
          <w:tcPr>
            <w:tcW w:w="665" w:type="dxa"/>
            <w:tcBorders/>
            <w:shd w:fill="CCEEFF" w:val="clear"/>
            <w:vAlign w:val="center"/>
          </w:tcPr>
          <w:p>
            <w:pPr>
              <w:pStyle w:val="TableContents"/>
              <w:bidi w:val="0"/>
              <w:spacing w:before="0" w:after="283"/>
              <w:jc w:val="left"/>
              <w:rPr>
                <w:sz w:val="20"/>
              </w:rPr>
            </w:pPr>
            <w:r>
              <w:rPr>
                <w:sz w:val="20"/>
              </w:rPr>
              <w:t>3.4(a)</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9">
              <w:r>
                <w:rPr>
                  <w:rStyle w:val="InternetLink"/>
                  <w:sz w:val="20"/>
                </w:rPr>
                <w:t>Certificate of Amendment to the Certificate of Designation of Preferences, Rights and Limitations of the Series C Convertible Preferred Stock</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4.1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11/6/25</w:t>
            </w:r>
          </w:p>
        </w:tc>
      </w:tr>
      <w:tr>
        <w:trPr/>
        <w:tc>
          <w:tcPr>
            <w:tcW w:w="665" w:type="dxa"/>
            <w:tcBorders/>
            <w:shd w:fill="FFFFFF" w:val="clear"/>
            <w:vAlign w:val="center"/>
          </w:tcPr>
          <w:p>
            <w:pPr>
              <w:pStyle w:val="TableContents"/>
              <w:bidi w:val="0"/>
              <w:spacing w:before="0" w:after="283"/>
              <w:jc w:val="left"/>
              <w:rPr>
                <w:sz w:val="20"/>
              </w:rPr>
            </w:pPr>
            <w:r>
              <w:rPr>
                <w:sz w:val="20"/>
              </w:rPr>
              <w:t>3.5</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10">
              <w:r>
                <w:rPr>
                  <w:rStyle w:val="InternetLink"/>
                  <w:sz w:val="20"/>
                </w:rPr>
                <w:t>Series D Certificate of Designations</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3.1</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4/8/26</w:t>
            </w:r>
          </w:p>
        </w:tc>
      </w:tr>
      <w:tr>
        <w:trPr/>
        <w:tc>
          <w:tcPr>
            <w:tcW w:w="665" w:type="dxa"/>
            <w:tcBorders/>
            <w:shd w:fill="CCEEFF" w:val="clear"/>
            <w:vAlign w:val="center"/>
          </w:tcPr>
          <w:p>
            <w:pPr>
              <w:pStyle w:val="TableContents"/>
              <w:bidi w:val="0"/>
              <w:spacing w:before="0" w:after="283"/>
              <w:jc w:val="left"/>
              <w:rPr>
                <w:sz w:val="20"/>
              </w:rPr>
            </w:pPr>
            <w:r>
              <w:rPr>
                <w:sz w:val="20"/>
              </w:rPr>
              <w:t>4.1</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11">
              <w:r>
                <w:rPr>
                  <w:rStyle w:val="InternetLink"/>
                  <w:sz w:val="20"/>
                </w:rPr>
                <w:t>Form of Note</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4.1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6/18/25</w:t>
            </w:r>
          </w:p>
        </w:tc>
      </w:tr>
      <w:tr>
        <w:trPr/>
        <w:tc>
          <w:tcPr>
            <w:tcW w:w="665" w:type="dxa"/>
            <w:tcBorders/>
            <w:shd w:fill="FFFFFF" w:val="clear"/>
            <w:vAlign w:val="center"/>
          </w:tcPr>
          <w:p>
            <w:pPr>
              <w:pStyle w:val="TableContents"/>
              <w:bidi w:val="0"/>
              <w:spacing w:before="0" w:after="283"/>
              <w:jc w:val="left"/>
              <w:rPr>
                <w:sz w:val="20"/>
              </w:rPr>
            </w:pPr>
            <w:r>
              <w:rPr>
                <w:sz w:val="20"/>
              </w:rPr>
              <w:t>4.2</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12">
              <w:r>
                <w:rPr>
                  <w:rStyle w:val="InternetLink"/>
                  <w:sz w:val="20"/>
                </w:rPr>
                <w:t>Form of 2025 Warrant</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4.2</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6/18/25</w:t>
            </w:r>
          </w:p>
        </w:tc>
      </w:tr>
      <w:tr>
        <w:trPr/>
        <w:tc>
          <w:tcPr>
            <w:tcW w:w="665" w:type="dxa"/>
            <w:tcBorders/>
            <w:shd w:fill="CCEEFF" w:val="clear"/>
            <w:vAlign w:val="center"/>
          </w:tcPr>
          <w:p>
            <w:pPr>
              <w:pStyle w:val="TableContents"/>
              <w:bidi w:val="0"/>
              <w:spacing w:before="0" w:after="283"/>
              <w:jc w:val="left"/>
              <w:rPr>
                <w:sz w:val="20"/>
              </w:rPr>
            </w:pPr>
            <w:r>
              <w:rPr>
                <w:sz w:val="20"/>
              </w:rPr>
              <w:t>4.3</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13">
              <w:r>
                <w:rPr>
                  <w:rStyle w:val="InternetLink"/>
                  <w:sz w:val="20"/>
                </w:rPr>
                <w:t>Form of 2026 Warrant</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4.1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4/8/26</w:t>
            </w:r>
          </w:p>
        </w:tc>
      </w:tr>
      <w:tr>
        <w:trPr/>
        <w:tc>
          <w:tcPr>
            <w:tcW w:w="665" w:type="dxa"/>
            <w:tcBorders/>
            <w:shd w:fill="FFFFFF" w:val="clear"/>
            <w:vAlign w:val="center"/>
          </w:tcPr>
          <w:p>
            <w:pPr>
              <w:pStyle w:val="TableContents"/>
              <w:bidi w:val="0"/>
              <w:spacing w:before="0" w:after="283"/>
              <w:jc w:val="left"/>
              <w:rPr>
                <w:sz w:val="20"/>
              </w:rPr>
            </w:pPr>
            <w:r>
              <w:rPr>
                <w:sz w:val="20"/>
              </w:rPr>
              <w:t>4.4</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14">
              <w:r>
                <w:rPr>
                  <w:rStyle w:val="InternetLink"/>
                  <w:sz w:val="20"/>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10-K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4.6</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3/17/2022</w:t>
            </w:r>
          </w:p>
        </w:tc>
      </w:tr>
      <w:tr>
        <w:trPr/>
        <w:tc>
          <w:tcPr>
            <w:tcW w:w="665" w:type="dxa"/>
            <w:tcBorders/>
            <w:shd w:fill="CCEEFF" w:val="clear"/>
            <w:vAlign w:val="center"/>
          </w:tcPr>
          <w:p>
            <w:pPr>
              <w:pStyle w:val="TableContents"/>
              <w:bidi w:val="0"/>
              <w:spacing w:before="0" w:after="283"/>
              <w:jc w:val="left"/>
              <w:rPr>
                <w:sz w:val="20"/>
              </w:rPr>
            </w:pPr>
            <w:r>
              <w:rPr>
                <w:sz w:val="20"/>
              </w:rPr>
              <w:t>4.5</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15">
              <w:r>
                <w:rPr>
                  <w:rStyle w:val="InternetLink"/>
                  <w:sz w:val="20"/>
                </w:rPr>
                <w:t>Public Warrant Agreement, dated as of January 12, 2022, by and between the Company and Continental Stock Transfer &amp; Trust Company, as warrant agent</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4.1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1/19/22</w:t>
            </w:r>
          </w:p>
        </w:tc>
      </w:tr>
      <w:tr>
        <w:trPr/>
        <w:tc>
          <w:tcPr>
            <w:tcW w:w="665" w:type="dxa"/>
            <w:tcBorders/>
            <w:shd w:fill="FFFFFF" w:val="clear"/>
            <w:vAlign w:val="center"/>
          </w:tcPr>
          <w:p>
            <w:pPr>
              <w:pStyle w:val="TableContents"/>
              <w:bidi w:val="0"/>
              <w:spacing w:before="0" w:after="283"/>
              <w:jc w:val="left"/>
              <w:rPr>
                <w:sz w:val="20"/>
              </w:rPr>
            </w:pPr>
            <w:r>
              <w:rPr>
                <w:sz w:val="20"/>
              </w:rPr>
              <w:t>4.6</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16">
              <w:r>
                <w:rPr>
                  <w:rStyle w:val="InternetLink"/>
                  <w:sz w:val="20"/>
                </w:rPr>
                <w:t>Private Warrant Agreement, dated as of January 12, 2022, by and between the Company and Continental Stock Transfer &amp; Trust Company, as warrant agent</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4.2</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1/19/22</w:t>
            </w:r>
          </w:p>
        </w:tc>
      </w:tr>
      <w:tr>
        <w:trPr/>
        <w:tc>
          <w:tcPr>
            <w:tcW w:w="665" w:type="dxa"/>
            <w:tcBorders/>
            <w:shd w:fill="CCEEFF" w:val="clear"/>
            <w:vAlign w:val="center"/>
          </w:tcPr>
          <w:p>
            <w:pPr>
              <w:pStyle w:val="TableContents"/>
              <w:bidi w:val="0"/>
              <w:spacing w:before="0" w:after="283"/>
              <w:jc w:val="left"/>
              <w:rPr>
                <w:sz w:val="20"/>
              </w:rPr>
            </w:pPr>
            <w:r>
              <w:rPr>
                <w:sz w:val="20"/>
              </w:rPr>
              <w:t>5.1</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17">
              <w:r>
                <w:rPr>
                  <w:rStyle w:val="InternetLink"/>
                  <w:sz w:val="20"/>
                </w:rPr>
                <w:t>Opinion of Nason, Yeager, Gerson, Harris &amp; Fumero, P.A.</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pPr>
            <w:r>
              <w:rPr/>
              <w:t>S-1</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pPr>
            <w:r>
              <w:rPr/>
              <w:t>5.1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pPr>
            <w:r>
              <w:rPr/>
              <w:t>6/5/26</w:t>
            </w:r>
          </w:p>
        </w:tc>
      </w:tr>
      <w:tr>
        <w:trPr/>
        <w:tc>
          <w:tcPr>
            <w:tcW w:w="665" w:type="dxa"/>
            <w:tcBorders/>
            <w:shd w:fill="FFFFFF" w:val="clear"/>
            <w:vAlign w:val="center"/>
          </w:tcPr>
          <w:p>
            <w:pPr>
              <w:pStyle w:val="TableContents"/>
              <w:bidi w:val="0"/>
              <w:spacing w:before="0" w:after="283"/>
              <w:jc w:val="left"/>
              <w:rPr>
                <w:sz w:val="20"/>
              </w:rPr>
            </w:pPr>
            <w:r>
              <w:rPr>
                <w:sz w:val="20"/>
              </w:rPr>
              <w:t>10.1</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18">
              <w:r>
                <w:rPr>
                  <w:rStyle w:val="InternetLink"/>
                  <w:sz w:val="20"/>
                </w:rPr>
                <w:t>Form of Forbearance Agreement</w:t>
              </w:r>
            </w:hyperlink>
            <w:r>
              <w:rPr/>
              <w:t>+</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10.1</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10/28/25</w:t>
            </w:r>
          </w:p>
        </w:tc>
      </w:tr>
      <w:tr>
        <w:trPr/>
        <w:tc>
          <w:tcPr>
            <w:tcW w:w="665" w:type="dxa"/>
            <w:tcBorders/>
            <w:shd w:fill="CCEEFF" w:val="clear"/>
            <w:vAlign w:val="center"/>
          </w:tcPr>
          <w:p>
            <w:pPr>
              <w:pStyle w:val="TableContents"/>
              <w:bidi w:val="0"/>
              <w:spacing w:before="0" w:after="283"/>
              <w:jc w:val="left"/>
              <w:rPr>
                <w:sz w:val="20"/>
              </w:rPr>
            </w:pPr>
            <w:r>
              <w:rPr>
                <w:sz w:val="20"/>
              </w:rPr>
              <w:t>10.2</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19">
              <w:r>
                <w:rPr>
                  <w:rStyle w:val="InternetLink"/>
                  <w:sz w:val="20"/>
                </w:rPr>
                <w:t>Form of Securities Purchase Agreement</w:t>
              </w:r>
            </w:hyperlink>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10.2</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10/28/25</w:t>
            </w:r>
          </w:p>
        </w:tc>
      </w:tr>
      <w:tr>
        <w:trPr/>
        <w:tc>
          <w:tcPr>
            <w:tcW w:w="665" w:type="dxa"/>
            <w:tcBorders/>
            <w:shd w:fill="FFFFFF" w:val="clear"/>
            <w:vAlign w:val="center"/>
          </w:tcPr>
          <w:p>
            <w:pPr>
              <w:pStyle w:val="TableContents"/>
              <w:bidi w:val="0"/>
              <w:spacing w:before="0" w:after="283"/>
              <w:jc w:val="left"/>
              <w:rPr>
                <w:sz w:val="20"/>
              </w:rPr>
            </w:pPr>
            <w:r>
              <w:rPr>
                <w:sz w:val="20"/>
              </w:rPr>
              <w:t>10.3</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20">
              <w:r>
                <w:rPr>
                  <w:rStyle w:val="InternetLink"/>
                  <w:sz w:val="20"/>
                </w:rPr>
                <w:t>Form of Stock Option Agreement</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10.1</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10/15/25</w:t>
            </w:r>
          </w:p>
        </w:tc>
      </w:tr>
      <w:tr>
        <w:trPr/>
        <w:tc>
          <w:tcPr>
            <w:tcW w:w="665"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21">
              <w:r>
                <w:rPr>
                  <w:rStyle w:val="InternetLink"/>
                  <w:sz w:val="20"/>
                </w:rPr>
                <w:t>Form of Stock Option Agreement</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10.1</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8/22/25</w:t>
            </w:r>
          </w:p>
        </w:tc>
      </w:tr>
      <w:tr>
        <w:trPr/>
        <w:tc>
          <w:tcPr>
            <w:tcW w:w="665" w:type="dxa"/>
            <w:tcBorders/>
            <w:shd w:fill="FFFFFF" w:val="clear"/>
            <w:vAlign w:val="center"/>
          </w:tcPr>
          <w:p>
            <w:pPr>
              <w:pStyle w:val="TableContents"/>
              <w:bidi w:val="0"/>
              <w:spacing w:before="0" w:after="283"/>
              <w:jc w:val="left"/>
              <w:rPr>
                <w:sz w:val="20"/>
              </w:rPr>
            </w:pPr>
            <w:r>
              <w:rPr>
                <w:sz w:val="20"/>
              </w:rPr>
              <w:t>10.5</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22">
              <w:r>
                <w:rPr>
                  <w:rStyle w:val="InternetLink"/>
                  <w:sz w:val="20"/>
                </w:rPr>
                <w:t>Form of Conversion Agreement</w:t>
              </w:r>
            </w:hyperlink>
            <w:r>
              <w:rPr/>
              <w:t>+</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10.1</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6/18/25</w:t>
            </w:r>
          </w:p>
        </w:tc>
      </w:tr>
      <w:tr>
        <w:trPr/>
        <w:tc>
          <w:tcPr>
            <w:tcW w:w="665" w:type="dxa"/>
            <w:tcBorders/>
            <w:shd w:fill="CCEEFF" w:val="clear"/>
            <w:vAlign w:val="center"/>
          </w:tcPr>
          <w:p>
            <w:pPr>
              <w:pStyle w:val="TableContents"/>
              <w:bidi w:val="0"/>
              <w:spacing w:before="0" w:after="283"/>
              <w:jc w:val="left"/>
              <w:rPr>
                <w:sz w:val="20"/>
              </w:rPr>
            </w:pPr>
            <w:r>
              <w:rPr>
                <w:sz w:val="20"/>
              </w:rPr>
              <w:t>10.6</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23">
              <w:r>
                <w:rPr>
                  <w:rStyle w:val="InternetLink"/>
                  <w:sz w:val="20"/>
                </w:rPr>
                <w:t>Form of Securities Purchase Agreement</w:t>
              </w:r>
            </w:hyperlink>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10.2</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6/18/25</w:t>
            </w:r>
          </w:p>
        </w:tc>
      </w:tr>
      <w:tr>
        <w:trPr/>
        <w:tc>
          <w:tcPr>
            <w:tcW w:w="665" w:type="dxa"/>
            <w:tcBorders/>
            <w:shd w:fill="FFFFFF" w:val="clear"/>
            <w:vAlign w:val="center"/>
          </w:tcPr>
          <w:p>
            <w:pPr>
              <w:pStyle w:val="TableContents"/>
              <w:bidi w:val="0"/>
              <w:spacing w:before="0" w:after="283"/>
              <w:jc w:val="left"/>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24">
              <w:r>
                <w:rPr>
                  <w:rStyle w:val="InternetLink"/>
                  <w:sz w:val="20"/>
                </w:rPr>
                <w:t>Form of Consent Agreement</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10.3</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6/18/25</w:t>
            </w:r>
          </w:p>
        </w:tc>
      </w:tr>
      <w:tr>
        <w:trPr/>
        <w:tc>
          <w:tcPr>
            <w:tcW w:w="665" w:type="dxa"/>
            <w:tcBorders/>
            <w:shd w:fill="CCEEFF" w:val="clear"/>
            <w:vAlign w:val="center"/>
          </w:tcPr>
          <w:p>
            <w:pPr>
              <w:pStyle w:val="TableContents"/>
              <w:bidi w:val="0"/>
              <w:spacing w:before="0" w:after="283"/>
              <w:jc w:val="left"/>
              <w:rPr>
                <w:sz w:val="20"/>
              </w:rPr>
            </w:pPr>
            <w:r>
              <w:rPr>
                <w:sz w:val="20"/>
              </w:rPr>
              <w:t>10.8</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25">
              <w:r>
                <w:rPr>
                  <w:rStyle w:val="InternetLink"/>
                  <w:sz w:val="20"/>
                </w:rPr>
                <w:t>Form of Universal Resale and Registration Provisions</w:t>
              </w:r>
            </w:hyperlink>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10.4</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6/18/25</w:t>
            </w:r>
          </w:p>
        </w:tc>
      </w:tr>
      <w:tr>
        <w:trPr/>
        <w:tc>
          <w:tcPr>
            <w:tcW w:w="665" w:type="dxa"/>
            <w:tcBorders/>
            <w:shd w:fill="FFFFFF" w:val="clear"/>
            <w:vAlign w:val="center"/>
          </w:tcPr>
          <w:p>
            <w:pPr>
              <w:pStyle w:val="TableContents"/>
              <w:bidi w:val="0"/>
              <w:spacing w:before="0" w:after="283"/>
              <w:jc w:val="left"/>
              <w:rPr>
                <w:sz w:val="20"/>
              </w:rPr>
            </w:pPr>
            <w:r>
              <w:rPr>
                <w:sz w:val="20"/>
              </w:rPr>
              <w:t>10.9</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26">
              <w:r>
                <w:rPr>
                  <w:rStyle w:val="InternetLink"/>
                  <w:sz w:val="20"/>
                </w:rPr>
                <w:t>Form of Security Agreement</w:t>
              </w:r>
            </w:hyperlink>
            <w:r>
              <w:rPr/>
              <w:t>+</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8-K</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10.5</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6/18/25</w:t>
            </w:r>
          </w:p>
        </w:tc>
      </w:tr>
      <w:tr>
        <w:trPr/>
        <w:tc>
          <w:tcPr>
            <w:tcW w:w="665" w:type="dxa"/>
            <w:tcBorders/>
            <w:shd w:fill="CCEEFF" w:val="clear"/>
            <w:vAlign w:val="center"/>
          </w:tcPr>
          <w:p>
            <w:pPr>
              <w:pStyle w:val="TableContents"/>
              <w:bidi w:val="0"/>
              <w:spacing w:before="0" w:after="283"/>
              <w:jc w:val="left"/>
              <w:rPr>
                <w:sz w:val="20"/>
              </w:rPr>
            </w:pPr>
            <w:r>
              <w:rPr>
                <w:sz w:val="20"/>
              </w:rPr>
              <w:t>10.10</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27">
              <w:r>
                <w:rPr>
                  <w:rStyle w:val="InternetLink"/>
                  <w:sz w:val="20"/>
                </w:rPr>
                <w:t>Form of Intercreditor Agreement</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8-K</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10.6</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6/18/25</w:t>
            </w:r>
          </w:p>
        </w:tc>
      </w:tr>
      <w:tr>
        <w:trPr/>
        <w:tc>
          <w:tcPr>
            <w:tcW w:w="665" w:type="dxa"/>
            <w:tcBorders/>
            <w:shd w:fill="FFFFFF" w:val="clear"/>
            <w:vAlign w:val="center"/>
          </w:tcPr>
          <w:p>
            <w:pPr>
              <w:pStyle w:val="TableContents"/>
              <w:bidi w:val="0"/>
              <w:spacing w:before="0" w:after="283"/>
              <w:jc w:val="left"/>
              <w:rPr>
                <w:sz w:val="20"/>
              </w:rPr>
            </w:pPr>
            <w:r>
              <w:rPr>
                <w:sz w:val="20"/>
              </w:rPr>
              <w:t>10.11</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28">
              <w:r>
                <w:rPr>
                  <w:rStyle w:val="InternetLink"/>
                  <w:sz w:val="20"/>
                </w:rPr>
                <w:t>Consulting Agreement, effective as of May 21, 2024, by and between Mimi Flanagan and Zapata Computing, Inc.</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10-Q</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10.29</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8/14/24</w:t>
            </w:r>
          </w:p>
        </w:tc>
      </w:tr>
      <w:tr>
        <w:trPr/>
        <w:tc>
          <w:tcPr>
            <w:tcW w:w="665" w:type="dxa"/>
            <w:tcBorders/>
            <w:shd w:fill="CCEEFF" w:val="clear"/>
            <w:vAlign w:val="center"/>
          </w:tcPr>
          <w:p>
            <w:pPr>
              <w:pStyle w:val="TableContents"/>
              <w:bidi w:val="0"/>
              <w:spacing w:before="0" w:after="283"/>
              <w:jc w:val="left"/>
              <w:rPr>
                <w:sz w:val="20"/>
              </w:rPr>
            </w:pPr>
            <w:r>
              <w:rPr>
                <w:sz w:val="20"/>
              </w:rPr>
              <w:t>10.12</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29">
              <w:r>
                <w:rPr>
                  <w:rStyle w:val="InternetLink"/>
                  <w:sz w:val="20"/>
                </w:rPr>
                <w:t>Purchase Agreement, dated as of August 13, 2024, by and between Zapata Computing Holdings Inc. and Lincoln Park Fund, LLC</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10-Q</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10.32</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8/14/24</w:t>
            </w:r>
          </w:p>
        </w:tc>
      </w:tr>
      <w:tr>
        <w:trPr/>
        <w:tc>
          <w:tcPr>
            <w:tcW w:w="665" w:type="dxa"/>
            <w:tcBorders/>
            <w:shd w:fill="FFFFFF" w:val="clear"/>
            <w:vAlign w:val="center"/>
          </w:tcPr>
          <w:p>
            <w:pPr>
              <w:pStyle w:val="TableContents"/>
              <w:bidi w:val="0"/>
              <w:spacing w:before="0" w:after="283"/>
              <w:jc w:val="left"/>
              <w:rPr>
                <w:sz w:val="20"/>
              </w:rPr>
            </w:pPr>
            <w:r>
              <w:rPr>
                <w:sz w:val="20"/>
              </w:rPr>
              <w:t>10.13</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30">
              <w:r>
                <w:rPr>
                  <w:rStyle w:val="InternetLink"/>
                  <w:sz w:val="20"/>
                </w:rPr>
                <w:t>Registration Rights Agreement, dated as of August 13, 2024, by and between Zapata Computing Holdings Inc. and Lincoln Park Fund LLC</w:t>
              </w:r>
            </w:hyperlink>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10-Q</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10.33</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8/14/24</w:t>
            </w:r>
          </w:p>
        </w:tc>
      </w:tr>
      <w:tr>
        <w:trPr/>
        <w:tc>
          <w:tcPr>
            <w:tcW w:w="665" w:type="dxa"/>
            <w:tcBorders/>
            <w:shd w:fill="CCEEFF" w:val="clear"/>
            <w:vAlign w:val="center"/>
          </w:tcPr>
          <w:p>
            <w:pPr>
              <w:pStyle w:val="TableContents"/>
              <w:bidi w:val="0"/>
              <w:spacing w:before="0" w:after="283"/>
              <w:jc w:val="left"/>
              <w:rPr>
                <w:sz w:val="20"/>
              </w:rPr>
            </w:pPr>
            <w:r>
              <w:rPr>
                <w:sz w:val="20"/>
              </w:rPr>
              <w:t>10.14</w:t>
            </w:r>
          </w:p>
        </w:tc>
        <w:tc>
          <w:tcPr>
            <w:tcW w:w="60" w:type="dxa"/>
            <w:tcBorders/>
            <w:shd w:fill="CCEEFF" w:val="clear"/>
            <w:vAlign w:val="center"/>
          </w:tcPr>
          <w:p>
            <w:pPr>
              <w:pStyle w:val="TableContents"/>
              <w:bidi w:val="0"/>
              <w:spacing w:before="0" w:after="283"/>
              <w:jc w:val="left"/>
              <w:rPr/>
            </w:pPr>
            <w:r>
              <w:rPr/>
              <w:t> </w:t>
            </w:r>
          </w:p>
        </w:tc>
        <w:tc>
          <w:tcPr>
            <w:tcW w:w="6446" w:type="dxa"/>
            <w:tcBorders/>
            <w:shd w:fill="CCEEFF" w:val="clear"/>
            <w:vAlign w:val="center"/>
          </w:tcPr>
          <w:p>
            <w:pPr>
              <w:pStyle w:val="TableContents"/>
              <w:bidi w:val="0"/>
              <w:spacing w:before="0" w:after="283"/>
              <w:jc w:val="left"/>
              <w:rPr/>
            </w:pPr>
            <w:hyperlink r:id="rId31">
              <w:r>
                <w:rPr>
                  <w:rStyle w:val="InternetLink"/>
                  <w:sz w:val="20"/>
                </w:rPr>
                <w:t>Nonstatutory Stock Option Award Agreement (Inducement Award)</w:t>
              </w:r>
            </w:hyperlink>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center"/>
              <w:rPr>
                <w:sz w:val="20"/>
              </w:rPr>
            </w:pPr>
            <w:r>
              <w:rPr>
                <w:sz w:val="20"/>
              </w:rPr>
              <w:t>S-8</w:t>
            </w:r>
          </w:p>
        </w:tc>
        <w:tc>
          <w:tcPr>
            <w:tcW w:w="6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center"/>
              <w:rPr>
                <w:sz w:val="20"/>
              </w:rPr>
            </w:pPr>
            <w:r>
              <w:rPr>
                <w:sz w:val="20"/>
              </w:rPr>
              <w:t>99.4</w:t>
            </w:r>
          </w:p>
        </w:tc>
        <w:tc>
          <w:tcPr>
            <w:tcW w:w="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center"/>
              <w:rPr>
                <w:sz w:val="20"/>
              </w:rPr>
            </w:pPr>
            <w:r>
              <w:rPr>
                <w:sz w:val="20"/>
              </w:rPr>
              <w:t>6/17/24</w:t>
            </w:r>
          </w:p>
        </w:tc>
      </w:tr>
      <w:tr>
        <w:trPr/>
        <w:tc>
          <w:tcPr>
            <w:tcW w:w="665" w:type="dxa"/>
            <w:tcBorders/>
            <w:shd w:fill="FFFFFF" w:val="clear"/>
            <w:vAlign w:val="center"/>
          </w:tcPr>
          <w:p>
            <w:pPr>
              <w:pStyle w:val="TableContents"/>
              <w:bidi w:val="0"/>
              <w:spacing w:before="0" w:after="283"/>
              <w:jc w:val="left"/>
              <w:rPr>
                <w:sz w:val="20"/>
              </w:rPr>
            </w:pPr>
            <w:r>
              <w:rPr>
                <w:sz w:val="20"/>
              </w:rPr>
              <w:t>10.15</w:t>
            </w:r>
          </w:p>
        </w:tc>
        <w:tc>
          <w:tcPr>
            <w:tcW w:w="60" w:type="dxa"/>
            <w:tcBorders/>
            <w:shd w:fill="FFFFFF" w:val="clear"/>
            <w:vAlign w:val="center"/>
          </w:tcPr>
          <w:p>
            <w:pPr>
              <w:pStyle w:val="TableContents"/>
              <w:bidi w:val="0"/>
              <w:spacing w:before="0" w:after="283"/>
              <w:jc w:val="left"/>
              <w:rPr/>
            </w:pPr>
            <w:r>
              <w:rPr/>
              <w:t> </w:t>
            </w:r>
          </w:p>
        </w:tc>
        <w:tc>
          <w:tcPr>
            <w:tcW w:w="6446" w:type="dxa"/>
            <w:tcBorders/>
            <w:shd w:fill="FFFFFF" w:val="clear"/>
            <w:vAlign w:val="center"/>
          </w:tcPr>
          <w:p>
            <w:pPr>
              <w:pStyle w:val="TableContents"/>
              <w:bidi w:val="0"/>
              <w:spacing w:before="0" w:after="283"/>
              <w:jc w:val="left"/>
              <w:rPr/>
            </w:pPr>
            <w:hyperlink r:id="rId32">
              <w:r>
                <w:rPr>
                  <w:rStyle w:val="InternetLink"/>
                  <w:sz w:val="20"/>
                </w:rPr>
                <w:t>Zapata Computing Holdings Inc. 2024 Inducement Stock Incentive Plan</w:t>
              </w:r>
            </w:hyperlink>
            <w:r>
              <w:rPr/>
              <w:t>#</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center"/>
              <w:rPr>
                <w:sz w:val="20"/>
              </w:rPr>
            </w:pPr>
            <w:r>
              <w:rPr>
                <w:sz w:val="20"/>
              </w:rPr>
              <w:t>S-8</w:t>
            </w:r>
          </w:p>
        </w:tc>
        <w:tc>
          <w:tcPr>
            <w:tcW w:w="6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center"/>
              <w:rPr>
                <w:sz w:val="20"/>
              </w:rPr>
            </w:pPr>
            <w:r>
              <w:rPr>
                <w:sz w:val="20"/>
              </w:rPr>
              <w:t>99.5</w:t>
            </w:r>
          </w:p>
        </w:tc>
        <w:tc>
          <w:tcPr>
            <w:tcW w:w="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sz w:val="20"/>
              </w:rPr>
            </w:pPr>
            <w:r>
              <w:rPr>
                <w:sz w:val="20"/>
              </w:rPr>
              <w:t>6/17/24</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5"/>
        <w:gridCol w:w="60"/>
        <w:gridCol w:w="7579"/>
        <w:gridCol w:w="60"/>
        <w:gridCol w:w="500"/>
        <w:gridCol w:w="60"/>
        <w:gridCol w:w="306"/>
        <w:gridCol w:w="60"/>
        <w:gridCol w:w="485"/>
        <w:gridCol w:w="60"/>
        <w:gridCol w:w="450"/>
      </w:tblGrid>
      <w:tr>
        <w:trPr/>
        <w:tc>
          <w:tcPr>
            <w:tcW w:w="585" w:type="dxa"/>
            <w:tcBorders/>
            <w:shd w:fill="CCEEFF" w:val="clear"/>
            <w:vAlign w:val="center"/>
          </w:tcPr>
          <w:p>
            <w:pPr>
              <w:pStyle w:val="TableContents"/>
              <w:bidi w:val="0"/>
              <w:spacing w:before="0" w:after="283"/>
              <w:jc w:val="left"/>
              <w:rPr>
                <w:sz w:val="20"/>
              </w:rPr>
            </w:pPr>
            <w:r>
              <w:rPr>
                <w:sz w:val="20"/>
              </w:rPr>
              <w:t>10.16</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33">
              <w:r>
                <w:rPr>
                  <w:rStyle w:val="InternetLink"/>
                  <w:sz w:val="20"/>
                </w:rPr>
                <w:t>Offer Letter, dated May 8, 2024, by and between Sumit Kapur and Zapata Computing, Inc.</w:t>
              </w:r>
            </w:hyperlink>
            <w:r>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5/13/24</w:t>
            </w:r>
          </w:p>
        </w:tc>
      </w:tr>
      <w:tr>
        <w:trPr/>
        <w:tc>
          <w:tcPr>
            <w:tcW w:w="585" w:type="dxa"/>
            <w:tcBorders/>
            <w:shd w:fill="FFFFFF" w:val="clear"/>
            <w:vAlign w:val="center"/>
          </w:tcPr>
          <w:p>
            <w:pPr>
              <w:pStyle w:val="TableContents"/>
              <w:bidi w:val="0"/>
              <w:spacing w:before="0" w:after="283"/>
              <w:jc w:val="left"/>
              <w:rPr>
                <w:sz w:val="20"/>
              </w:rPr>
            </w:pPr>
            <w:r>
              <w:rPr>
                <w:sz w:val="20"/>
              </w:rPr>
              <w:t>10.17</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34">
              <w:r>
                <w:rPr>
                  <w:rStyle w:val="InternetLink"/>
                  <w:sz w:val="20"/>
                </w:rPr>
                <w:t>Amended and Restated Registration Rights Agreement, dated as of September 6, 2023, by and among the Company and certain security holders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4/3/24</w:t>
            </w:r>
          </w:p>
        </w:tc>
      </w:tr>
      <w:tr>
        <w:trPr/>
        <w:tc>
          <w:tcPr>
            <w:tcW w:w="585" w:type="dxa"/>
            <w:tcBorders/>
            <w:shd w:fill="CCEEFF" w:val="clear"/>
            <w:vAlign w:val="center"/>
          </w:tcPr>
          <w:p>
            <w:pPr>
              <w:pStyle w:val="TableContents"/>
              <w:bidi w:val="0"/>
              <w:spacing w:before="0" w:after="283"/>
              <w:jc w:val="left"/>
              <w:rPr>
                <w:sz w:val="20"/>
              </w:rPr>
            </w:pPr>
            <w:r>
              <w:rPr>
                <w:sz w:val="20"/>
              </w:rPr>
              <w:t>10.18</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35">
              <w:r>
                <w:rPr>
                  <w:rStyle w:val="InternetLink"/>
                  <w:sz w:val="20"/>
                </w:rPr>
                <w:t>Zapata Computing Holdings Inc. 2024 Equity and Incentive Plan</w:t>
              </w:r>
            </w:hyperlink>
            <w:r>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10.5</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4/3/24</w:t>
            </w:r>
          </w:p>
        </w:tc>
      </w:tr>
      <w:tr>
        <w:trPr/>
        <w:tc>
          <w:tcPr>
            <w:tcW w:w="585" w:type="dxa"/>
            <w:tcBorders/>
            <w:shd w:fill="FFFFFF" w:val="clear"/>
            <w:vAlign w:val="center"/>
          </w:tcPr>
          <w:p>
            <w:pPr>
              <w:pStyle w:val="TableContents"/>
              <w:bidi w:val="0"/>
              <w:spacing w:before="0" w:after="283"/>
              <w:jc w:val="left"/>
              <w:rPr>
                <w:sz w:val="20"/>
              </w:rPr>
            </w:pPr>
            <w:r>
              <w:rPr>
                <w:sz w:val="20"/>
              </w:rPr>
              <w:t>10.19</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36">
              <w:r>
                <w:rPr>
                  <w:rStyle w:val="InternetLink"/>
                  <w:sz w:val="20"/>
                </w:rPr>
                <w:t>Form of Incentive Stock Option Agreement under the Zapata Computing Holdings Inc. 2024 Equity and Incentive Plan</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10.6</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4/3/24</w:t>
            </w:r>
          </w:p>
        </w:tc>
      </w:tr>
      <w:tr>
        <w:trPr/>
        <w:tc>
          <w:tcPr>
            <w:tcW w:w="585" w:type="dxa"/>
            <w:tcBorders/>
            <w:shd w:fill="CCEEFF" w:val="clear"/>
            <w:vAlign w:val="center"/>
          </w:tcPr>
          <w:p>
            <w:pPr>
              <w:pStyle w:val="TableContents"/>
              <w:bidi w:val="0"/>
              <w:spacing w:before="0" w:after="283"/>
              <w:jc w:val="left"/>
              <w:rPr>
                <w:sz w:val="20"/>
              </w:rPr>
            </w:pPr>
            <w:r>
              <w:rPr>
                <w:sz w:val="20"/>
              </w:rPr>
              <w:t>10.20</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37">
              <w:r>
                <w:rPr>
                  <w:rStyle w:val="InternetLink"/>
                  <w:sz w:val="20"/>
                </w:rPr>
                <w:t>Form of Nonstatutory Stock Option Agreement under the Zapata Computing Holdings Inc. 2024 Equity and Incentive Plan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10.7</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4/3/24</w:t>
            </w:r>
          </w:p>
        </w:tc>
      </w:tr>
      <w:tr>
        <w:trPr/>
        <w:tc>
          <w:tcPr>
            <w:tcW w:w="585" w:type="dxa"/>
            <w:tcBorders/>
            <w:shd w:fill="FFFFFF" w:val="clear"/>
            <w:vAlign w:val="center"/>
          </w:tcPr>
          <w:p>
            <w:pPr>
              <w:pStyle w:val="TableContents"/>
              <w:bidi w:val="0"/>
              <w:spacing w:before="0" w:after="283"/>
              <w:jc w:val="left"/>
              <w:rPr>
                <w:sz w:val="20"/>
              </w:rPr>
            </w:pPr>
            <w:r>
              <w:rPr>
                <w:sz w:val="20"/>
              </w:rPr>
              <w:t>10.21</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38">
              <w:r>
                <w:rPr>
                  <w:rStyle w:val="InternetLink"/>
                  <w:sz w:val="20"/>
                </w:rPr>
                <w:t>Form of Restricted Stock Unit Award Agreement under the Zapata Computing Holdings Inc. 2024 Equity and Incentive Plan</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10.8</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4/3/24</w:t>
            </w:r>
          </w:p>
        </w:tc>
      </w:tr>
      <w:tr>
        <w:trPr/>
        <w:tc>
          <w:tcPr>
            <w:tcW w:w="585" w:type="dxa"/>
            <w:tcBorders/>
            <w:shd w:fill="CCEEFF" w:val="clear"/>
            <w:vAlign w:val="center"/>
          </w:tcPr>
          <w:p>
            <w:pPr>
              <w:pStyle w:val="TableContents"/>
              <w:bidi w:val="0"/>
              <w:spacing w:before="0" w:after="283"/>
              <w:jc w:val="left"/>
              <w:rPr>
                <w:sz w:val="20"/>
              </w:rPr>
            </w:pPr>
            <w:r>
              <w:rPr>
                <w:sz w:val="20"/>
              </w:rPr>
              <w:t>10.22</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39">
              <w:r>
                <w:rPr>
                  <w:rStyle w:val="InternetLink"/>
                  <w:sz w:val="20"/>
                </w:rPr>
                <w:t>Zapata Computing Holdings Inc. 2024 Employee Stock Purchase Plan#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10.9</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4/3/24</w:t>
            </w:r>
          </w:p>
        </w:tc>
      </w:tr>
      <w:tr>
        <w:trPr/>
        <w:tc>
          <w:tcPr>
            <w:tcW w:w="585" w:type="dxa"/>
            <w:tcBorders/>
            <w:shd w:fill="FFFFFF" w:val="clear"/>
            <w:vAlign w:val="center"/>
          </w:tcPr>
          <w:p>
            <w:pPr>
              <w:pStyle w:val="TableContents"/>
              <w:bidi w:val="0"/>
              <w:spacing w:before="0" w:after="283"/>
              <w:jc w:val="left"/>
              <w:rPr>
                <w:sz w:val="20"/>
              </w:rPr>
            </w:pPr>
            <w:r>
              <w:rPr>
                <w:sz w:val="20"/>
              </w:rPr>
              <w:t>10.23</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40">
              <w:r>
                <w:rPr>
                  <w:rStyle w:val="InternetLink"/>
                  <w:sz w:val="20"/>
                </w:rPr>
                <w:t>Senior Secured Note Purchase Agreement, dated as of December 15, 2023, by and among Zapata Computing, Inc., Zapata Government Services, Inc., the individuals and entities who become parties thereto and Acquiom Agency Services LLC in its capacity as collateral agent</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10.24</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4/3/24</w:t>
            </w:r>
          </w:p>
        </w:tc>
      </w:tr>
      <w:tr>
        <w:trPr/>
        <w:tc>
          <w:tcPr>
            <w:tcW w:w="585" w:type="dxa"/>
            <w:tcBorders/>
            <w:shd w:fill="CCEEFF" w:val="clear"/>
            <w:vAlign w:val="center"/>
          </w:tcPr>
          <w:p>
            <w:pPr>
              <w:pStyle w:val="TableContents"/>
              <w:bidi w:val="0"/>
              <w:spacing w:before="0" w:after="283"/>
              <w:jc w:val="left"/>
              <w:rPr>
                <w:sz w:val="20"/>
              </w:rPr>
            </w:pPr>
            <w:r>
              <w:rPr>
                <w:sz w:val="20"/>
              </w:rPr>
              <w:t>10.24</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41">
              <w:r>
                <w:rPr>
                  <w:rStyle w:val="InternetLink"/>
                  <w:sz w:val="20"/>
                </w:rPr>
                <w:t>Deferred Payment Agreement, dated March 28, 2024, by and among Zapata Computing Holdings Inc. (f/k/a Andretti Acquisition Corp.), Andretti Sponsor LLC, Michael M. Andretti, William J. Sandbrook and William M. Brown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10.35</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4/3/24</w:t>
            </w:r>
          </w:p>
        </w:tc>
      </w:tr>
      <w:tr>
        <w:trPr/>
        <w:tc>
          <w:tcPr>
            <w:tcW w:w="585" w:type="dxa"/>
            <w:tcBorders/>
            <w:shd w:fill="FFFFFF" w:val="clear"/>
            <w:vAlign w:val="center"/>
          </w:tcPr>
          <w:p>
            <w:pPr>
              <w:pStyle w:val="TableContents"/>
              <w:bidi w:val="0"/>
              <w:spacing w:before="0" w:after="283"/>
              <w:jc w:val="left"/>
              <w:rPr>
                <w:sz w:val="20"/>
              </w:rPr>
            </w:pPr>
            <w:r>
              <w:rPr>
                <w:sz w:val="20"/>
              </w:rPr>
              <w:t>10.25</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42">
              <w:r>
                <w:rPr>
                  <w:rStyle w:val="InternetLink"/>
                  <w:sz w:val="20"/>
                </w:rPr>
                <w:t>Order Form to Zapata Enterprise Solution Subscription Agreement, dated March 28, 2024, by and between Zapata Computing Holdings Inc. and Andretti Autosport Holding Company, LLC</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10.36</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4/3/24</w:t>
            </w:r>
          </w:p>
        </w:tc>
      </w:tr>
      <w:tr>
        <w:trPr/>
        <w:tc>
          <w:tcPr>
            <w:tcW w:w="585" w:type="dxa"/>
            <w:tcBorders/>
            <w:shd w:fill="CCEEFF" w:val="clear"/>
            <w:vAlign w:val="center"/>
          </w:tcPr>
          <w:p>
            <w:pPr>
              <w:pStyle w:val="TableContents"/>
              <w:bidi w:val="0"/>
              <w:spacing w:before="0" w:after="283"/>
              <w:jc w:val="left"/>
              <w:rPr>
                <w:sz w:val="20"/>
              </w:rPr>
            </w:pPr>
            <w:r>
              <w:rPr>
                <w:sz w:val="20"/>
              </w:rPr>
              <w:t>10.26</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43">
              <w:r>
                <w:rPr>
                  <w:rStyle w:val="InternetLink"/>
                  <w:sz w:val="20"/>
                </w:rPr>
                <w:t>Sponsorship Agreement, dated March 28, 2024, by and between Zapata Computing Holdings Inc. and Andretti Autosport 1, LLC</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10.37</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4/3/24</w:t>
            </w:r>
          </w:p>
        </w:tc>
      </w:tr>
      <w:tr>
        <w:trPr/>
        <w:tc>
          <w:tcPr>
            <w:tcW w:w="585" w:type="dxa"/>
            <w:tcBorders/>
            <w:shd w:fill="FFFFFF" w:val="clear"/>
            <w:vAlign w:val="center"/>
          </w:tcPr>
          <w:p>
            <w:pPr>
              <w:pStyle w:val="TableContents"/>
              <w:bidi w:val="0"/>
              <w:spacing w:before="0" w:after="283"/>
              <w:jc w:val="left"/>
              <w:rPr>
                <w:sz w:val="20"/>
              </w:rPr>
            </w:pPr>
            <w:r>
              <w:rPr>
                <w:sz w:val="20"/>
              </w:rPr>
              <w:t>10.27</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44">
              <w:r>
                <w:rPr>
                  <w:rStyle w:val="InternetLink"/>
                  <w:sz w:val="20"/>
                </w:rPr>
                <w:t>Confirmation of an OTC Equity Prepaid Forward Transaction, dated as of March 25, 2024, among Andretti Acquisition Corp., Zapata Computing, Inc. and Sandia Investment Management LP, acting on behalf of certain funds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10.1</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3/26/24</w:t>
            </w:r>
          </w:p>
        </w:tc>
      </w:tr>
      <w:tr>
        <w:trPr/>
        <w:tc>
          <w:tcPr>
            <w:tcW w:w="585" w:type="dxa"/>
            <w:tcBorders/>
            <w:shd w:fill="CCEEFF" w:val="clear"/>
            <w:vAlign w:val="center"/>
          </w:tcPr>
          <w:p>
            <w:pPr>
              <w:pStyle w:val="TableContents"/>
              <w:bidi w:val="0"/>
              <w:spacing w:before="0" w:after="283"/>
              <w:jc w:val="left"/>
              <w:rPr>
                <w:sz w:val="20"/>
              </w:rPr>
            </w:pPr>
            <w:r>
              <w:rPr>
                <w:sz w:val="20"/>
              </w:rPr>
              <w:t>10.28</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45">
              <w:r>
                <w:rPr>
                  <w:rStyle w:val="InternetLink"/>
                  <w:sz w:val="20"/>
                </w:rPr>
                <w:t>FPA Funding Amount PIPE Subscription Agreement, dated as of March 25, 2024, among Andretti Acquisition Corp., Zapata Computing, Inc. and Sandia Investment Management LP, acting on behalf of certain funds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10.2</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3/26/24</w:t>
            </w:r>
          </w:p>
        </w:tc>
      </w:tr>
      <w:tr>
        <w:trPr/>
        <w:tc>
          <w:tcPr>
            <w:tcW w:w="585" w:type="dxa"/>
            <w:tcBorders/>
            <w:shd w:fill="FFFFFF" w:val="clear"/>
            <w:vAlign w:val="center"/>
          </w:tcPr>
          <w:p>
            <w:pPr>
              <w:pStyle w:val="TableContents"/>
              <w:bidi w:val="0"/>
              <w:spacing w:before="0" w:after="283"/>
              <w:jc w:val="left"/>
              <w:rPr>
                <w:sz w:val="20"/>
              </w:rPr>
            </w:pPr>
            <w:r>
              <w:rPr>
                <w:sz w:val="20"/>
              </w:rPr>
              <w:t>10.29</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46">
              <w:r>
                <w:rPr>
                  <w:rStyle w:val="InternetLink"/>
                  <w:sz w:val="20"/>
                </w:rPr>
                <w:t>Zapata Computing, Inc. 2018 Stock Incentive Plan</w:t>
              </w:r>
            </w:hyperlink>
            <w:r>
              <w:rPr/>
              <w: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S-4/A</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12/1/23</w:t>
            </w:r>
          </w:p>
        </w:tc>
      </w:tr>
      <w:tr>
        <w:trPr/>
        <w:tc>
          <w:tcPr>
            <w:tcW w:w="585" w:type="dxa"/>
            <w:tcBorders/>
            <w:shd w:fill="CCEEFF" w:val="clear"/>
            <w:vAlign w:val="center"/>
          </w:tcPr>
          <w:p>
            <w:pPr>
              <w:pStyle w:val="TableContents"/>
              <w:bidi w:val="0"/>
              <w:spacing w:before="0" w:after="283"/>
              <w:jc w:val="left"/>
              <w:rPr>
                <w:sz w:val="20"/>
              </w:rPr>
            </w:pPr>
            <w:r>
              <w:rPr>
                <w:sz w:val="20"/>
              </w:rPr>
              <w:t>10.30</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47">
              <w:r>
                <w:rPr>
                  <w:rStyle w:val="InternetLink"/>
                  <w:sz w:val="20"/>
                </w:rPr>
                <w:t>Form of Indemnification Agreement</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S-4/A</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10.13</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12/22/23</w:t>
            </w:r>
          </w:p>
        </w:tc>
      </w:tr>
      <w:tr>
        <w:trPr/>
        <w:tc>
          <w:tcPr>
            <w:tcW w:w="585" w:type="dxa"/>
            <w:tcBorders/>
            <w:shd w:fill="FFFFFF" w:val="clear"/>
            <w:vAlign w:val="center"/>
          </w:tcPr>
          <w:p>
            <w:pPr>
              <w:pStyle w:val="TableContents"/>
              <w:bidi w:val="0"/>
              <w:spacing w:before="0" w:after="283"/>
              <w:jc w:val="left"/>
              <w:rPr>
                <w:sz w:val="20"/>
              </w:rPr>
            </w:pPr>
            <w:r>
              <w:rPr>
                <w:sz w:val="20"/>
              </w:rPr>
              <w:t>10.31</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48">
              <w:r>
                <w:rPr>
                  <w:rStyle w:val="InternetLink"/>
                  <w:sz w:val="20"/>
                </w:rPr>
                <w:t>Form of Securities Purchase Agreement (2026)</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10.1</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4/8/26</w:t>
            </w:r>
          </w:p>
        </w:tc>
      </w:tr>
      <w:tr>
        <w:trPr/>
        <w:tc>
          <w:tcPr>
            <w:tcW w:w="585" w:type="dxa"/>
            <w:tcBorders/>
            <w:shd w:fill="CCEEFF" w:val="clear"/>
            <w:vAlign w:val="center"/>
          </w:tcPr>
          <w:p>
            <w:pPr>
              <w:pStyle w:val="TableContents"/>
              <w:bidi w:val="0"/>
              <w:spacing w:before="0" w:after="283"/>
              <w:jc w:val="left"/>
              <w:rPr>
                <w:sz w:val="20"/>
              </w:rPr>
            </w:pPr>
            <w:r>
              <w:rPr>
                <w:sz w:val="20"/>
              </w:rPr>
              <w:t>10.32</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49">
              <w:r>
                <w:rPr>
                  <w:rStyle w:val="InternetLink"/>
                  <w:sz w:val="20"/>
                </w:rPr>
                <w:t>Form of Registration Rights Agreement (2026)</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10.2</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4/8/26</w:t>
            </w:r>
          </w:p>
        </w:tc>
      </w:tr>
      <w:tr>
        <w:trPr/>
        <w:tc>
          <w:tcPr>
            <w:tcW w:w="585" w:type="dxa"/>
            <w:tcBorders/>
            <w:shd w:fill="FFFFFF" w:val="clear"/>
            <w:vAlign w:val="center"/>
          </w:tcPr>
          <w:p>
            <w:pPr>
              <w:pStyle w:val="TableContents"/>
              <w:bidi w:val="0"/>
              <w:spacing w:before="0" w:after="283"/>
              <w:jc w:val="left"/>
              <w:rPr>
                <w:sz w:val="20"/>
              </w:rPr>
            </w:pPr>
            <w:r>
              <w:rPr>
                <w:sz w:val="20"/>
              </w:rPr>
              <w:t>16.1</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50">
              <w:r>
                <w:rPr>
                  <w:rStyle w:val="InternetLink"/>
                  <w:sz w:val="20"/>
                </w:rPr>
                <w:t>Letter from Deloitte</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16.1</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7/23/25</w:t>
            </w:r>
          </w:p>
        </w:tc>
      </w:tr>
      <w:tr>
        <w:trPr/>
        <w:tc>
          <w:tcPr>
            <w:tcW w:w="585" w:type="dxa"/>
            <w:tcBorders/>
            <w:shd w:fill="CCEEFF" w:val="clear"/>
            <w:vAlign w:val="center"/>
          </w:tcPr>
          <w:p>
            <w:pPr>
              <w:pStyle w:val="TableContents"/>
              <w:bidi w:val="0"/>
              <w:spacing w:before="0" w:after="283"/>
              <w:jc w:val="left"/>
              <w:rPr>
                <w:sz w:val="20"/>
              </w:rPr>
            </w:pPr>
            <w:r>
              <w:rPr>
                <w:sz w:val="20"/>
              </w:rPr>
              <w:t>16.2</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51">
              <w:r>
                <w:rPr>
                  <w:rStyle w:val="InternetLink"/>
                  <w:sz w:val="20"/>
                </w:rPr>
                <w:t>Letter from Marcum LLP to the Commission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sz w:val="20"/>
              </w:rPr>
            </w:pPr>
            <w:r>
              <w:rPr>
                <w:sz w:val="20"/>
              </w:rPr>
              <w:t>8-K</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sz w:val="20"/>
              </w:rPr>
            </w:pPr>
            <w:r>
              <w:rPr>
                <w:sz w:val="20"/>
              </w:rPr>
              <w:t>16.1</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sz w:val="20"/>
              </w:rPr>
            </w:pPr>
            <w:r>
              <w:rPr>
                <w:sz w:val="20"/>
              </w:rPr>
              <w:t>4/3/24</w:t>
            </w:r>
          </w:p>
        </w:tc>
      </w:tr>
      <w:tr>
        <w:trPr/>
        <w:tc>
          <w:tcPr>
            <w:tcW w:w="585" w:type="dxa"/>
            <w:tcBorders/>
            <w:shd w:fill="FFFFFF" w:val="clear"/>
            <w:vAlign w:val="center"/>
          </w:tcPr>
          <w:p>
            <w:pPr>
              <w:pStyle w:val="TableContents"/>
              <w:bidi w:val="0"/>
              <w:spacing w:before="0" w:after="283"/>
              <w:jc w:val="left"/>
              <w:rPr>
                <w:sz w:val="20"/>
              </w:rPr>
            </w:pPr>
            <w:r>
              <w:rPr>
                <w:sz w:val="20"/>
              </w:rPr>
              <w:t>21.1</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pPr>
            <w:hyperlink r:id="rId52">
              <w:r>
                <w:rPr>
                  <w:rStyle w:val="InternetLink"/>
                  <w:sz w:val="20"/>
                </w:rPr>
                <w:t>List of Subsidiaries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sz w:val="20"/>
              </w:rPr>
            </w:pPr>
            <w:r>
              <w:rPr>
                <w:sz w:val="20"/>
              </w:rPr>
              <w:t>8-K</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sz w:val="20"/>
              </w:rPr>
            </w:pPr>
            <w:r>
              <w:rPr>
                <w:sz w:val="20"/>
              </w:rPr>
              <w:t>21.1</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sz w:val="20"/>
              </w:rPr>
            </w:pPr>
            <w:r>
              <w:rPr>
                <w:sz w:val="20"/>
              </w:rPr>
              <w:t>4/3/24</w:t>
            </w:r>
          </w:p>
        </w:tc>
      </w:tr>
      <w:tr>
        <w:trPr/>
        <w:tc>
          <w:tcPr>
            <w:tcW w:w="585" w:type="dxa"/>
            <w:tcBorders/>
            <w:shd w:fill="CCEEFF" w:val="clear"/>
            <w:vAlign w:val="center"/>
          </w:tcPr>
          <w:p>
            <w:pPr>
              <w:pStyle w:val="TableContents"/>
              <w:bidi w:val="0"/>
              <w:spacing w:before="0" w:after="283"/>
              <w:jc w:val="left"/>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r>
              <w:rPr>
                <w:sz w:val="20"/>
              </w:rPr>
              <w:t xml:space="preserve">Consent of Nason, Yeager, Gerson, Harris &amp; Fumero, P.A. (included in </w:t>
            </w:r>
            <w:hyperlink r:id="rId53">
              <w:r>
                <w:rPr>
                  <w:rStyle w:val="InternetLink"/>
                  <w:sz w:val="20"/>
                </w:rPr>
                <w:t>Exhibit 5.1</w:t>
              </w:r>
            </w:hyperlink>
            <w:r>
              <w:rPr>
                <w:sz w:val="20"/>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pPr>
            <w:r>
              <w:rPr/>
              <w:t>S-1</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5.1</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6/5/26</w:t>
            </w:r>
          </w:p>
        </w:tc>
      </w:tr>
      <w:tr>
        <w:trPr/>
        <w:tc>
          <w:tcPr>
            <w:tcW w:w="585" w:type="dxa"/>
            <w:tcBorders/>
            <w:vAlign w:val="center"/>
          </w:tcPr>
          <w:p>
            <w:pPr>
              <w:pStyle w:val="TableContents"/>
              <w:bidi w:val="0"/>
              <w:spacing w:before="0" w:after="283"/>
              <w:jc w:val="left"/>
              <w:rPr>
                <w:sz w:val="20"/>
              </w:rPr>
            </w:pPr>
            <w:r>
              <w:rPr>
                <w:sz w:val="20"/>
              </w:rPr>
              <w:t>23.2</w:t>
            </w:r>
          </w:p>
        </w:tc>
        <w:tc>
          <w:tcPr>
            <w:tcW w:w="60" w:type="dxa"/>
            <w:tcBorders/>
            <w:vAlign w:val="center"/>
          </w:tcPr>
          <w:p>
            <w:pPr>
              <w:pStyle w:val="TableContents"/>
              <w:bidi w:val="0"/>
              <w:spacing w:before="0" w:after="283"/>
              <w:jc w:val="left"/>
              <w:rPr/>
            </w:pPr>
            <w:r>
              <w:rPr/>
              <w:t> </w:t>
            </w:r>
          </w:p>
        </w:tc>
        <w:tc>
          <w:tcPr>
            <w:tcW w:w="7579" w:type="dxa"/>
            <w:tcBorders/>
            <w:vAlign w:val="center"/>
          </w:tcPr>
          <w:p>
            <w:pPr>
              <w:pStyle w:val="TableContents"/>
              <w:bidi w:val="0"/>
              <w:spacing w:before="0" w:after="283"/>
              <w:jc w:val="left"/>
              <w:rPr/>
            </w:pPr>
            <w:hyperlink w:anchor="zpat_ex2302.htm">
              <w:r>
                <w:rPr>
                  <w:rStyle w:val="InternetLink"/>
                  <w:sz w:val="20"/>
                </w:rPr>
                <w:t>Consent of Weinberg &amp; Company, P.A.</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Filed</w:t>
            </w:r>
          </w:p>
        </w:tc>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center"/>
              <w:rPr/>
            </w:pPr>
            <w:r>
              <w:rPr/>
              <w:t> </w:t>
            </w:r>
          </w:p>
        </w:tc>
      </w:tr>
      <w:tr>
        <w:trPr/>
        <w:tc>
          <w:tcPr>
            <w:tcW w:w="585" w:type="dxa"/>
            <w:tcBorders/>
            <w:shd w:fill="CCEEFF" w:val="clear"/>
            <w:vAlign w:val="center"/>
          </w:tcPr>
          <w:p>
            <w:pPr>
              <w:pStyle w:val="TableContents"/>
              <w:bidi w:val="0"/>
              <w:spacing w:before="0" w:after="283"/>
              <w:jc w:val="left"/>
              <w:rPr>
                <w:sz w:val="20"/>
              </w:rPr>
            </w:pPr>
            <w:r>
              <w:rPr>
                <w:sz w:val="20"/>
              </w:rPr>
              <w:t>101.INS</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sz w:val="20"/>
              </w:rPr>
            </w:pPr>
            <w:r>
              <w:rPr>
                <w:sz w:val="20"/>
              </w:rPr>
              <w:t>Inline XBRL Instance Document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Filed</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 </w:t>
            </w:r>
          </w:p>
        </w:tc>
      </w:tr>
      <w:tr>
        <w:trPr/>
        <w:tc>
          <w:tcPr>
            <w:tcW w:w="585" w:type="dxa"/>
            <w:tcBorders/>
            <w:shd w:fill="FFFFFF" w:val="clear"/>
            <w:vAlign w:val="center"/>
          </w:tcPr>
          <w:p>
            <w:pPr>
              <w:pStyle w:val="TableContents"/>
              <w:bidi w:val="0"/>
              <w:spacing w:before="0" w:after="283"/>
              <w:jc w:val="left"/>
              <w:rPr>
                <w:sz w:val="20"/>
              </w:rPr>
            </w:pPr>
            <w:r>
              <w:rPr>
                <w:sz w:val="20"/>
              </w:rPr>
              <w:t>101.SCH</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sz w:val="20"/>
              </w:rPr>
            </w:pPr>
            <w:r>
              <w:rPr>
                <w:sz w:val="20"/>
              </w:rPr>
              <w:t>Inline XBRL Taxonomy Extension Schema</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sz w:val="20"/>
              </w:rPr>
            </w:pPr>
            <w:r>
              <w:rPr>
                <w:sz w:val="20"/>
              </w:rPr>
              <w:t>Filed</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pPr>
            <w:r>
              <w:rPr/>
              <w:t> </w:t>
            </w:r>
          </w:p>
        </w:tc>
      </w:tr>
      <w:tr>
        <w:trPr/>
        <w:tc>
          <w:tcPr>
            <w:tcW w:w="585" w:type="dxa"/>
            <w:tcBorders/>
            <w:shd w:fill="CCEEFF" w:val="clear"/>
            <w:vAlign w:val="center"/>
          </w:tcPr>
          <w:p>
            <w:pPr>
              <w:pStyle w:val="TableContents"/>
              <w:bidi w:val="0"/>
              <w:spacing w:before="0" w:after="283"/>
              <w:jc w:val="left"/>
              <w:rPr>
                <w:sz w:val="20"/>
              </w:rPr>
            </w:pPr>
            <w:r>
              <w:rPr>
                <w:sz w:val="20"/>
              </w:rPr>
              <w:t>101.CAL</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sz w:val="20"/>
              </w:rPr>
            </w:pPr>
            <w:r>
              <w:rPr>
                <w:sz w:val="20"/>
              </w:rPr>
              <w:t>Inline XBRL Taxonomy Extension Calculation Linkbase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Filed</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 </w:t>
            </w:r>
          </w:p>
        </w:tc>
      </w:tr>
      <w:tr>
        <w:trPr/>
        <w:tc>
          <w:tcPr>
            <w:tcW w:w="585" w:type="dxa"/>
            <w:tcBorders/>
            <w:shd w:fill="FFFFFF" w:val="clear"/>
            <w:vAlign w:val="center"/>
          </w:tcPr>
          <w:p>
            <w:pPr>
              <w:pStyle w:val="TableContents"/>
              <w:bidi w:val="0"/>
              <w:spacing w:before="0" w:after="283"/>
              <w:jc w:val="left"/>
              <w:rPr>
                <w:sz w:val="20"/>
              </w:rPr>
            </w:pPr>
            <w:r>
              <w:rPr>
                <w:sz w:val="20"/>
              </w:rPr>
              <w:t>101.DEF</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sz w:val="20"/>
              </w:rPr>
            </w:pPr>
            <w:r>
              <w:rPr>
                <w:sz w:val="20"/>
              </w:rPr>
              <w:t>Inline XBRL Taxonomy Extension Definition Linkbase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sz w:val="20"/>
              </w:rPr>
            </w:pPr>
            <w:r>
              <w:rPr>
                <w:sz w:val="20"/>
              </w:rPr>
              <w:t>Filed</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pPr>
            <w:r>
              <w:rPr/>
              <w:t> </w:t>
            </w:r>
          </w:p>
        </w:tc>
      </w:tr>
      <w:tr>
        <w:trPr/>
        <w:tc>
          <w:tcPr>
            <w:tcW w:w="585" w:type="dxa"/>
            <w:tcBorders/>
            <w:shd w:fill="CCEEFF" w:val="clear"/>
            <w:vAlign w:val="center"/>
          </w:tcPr>
          <w:p>
            <w:pPr>
              <w:pStyle w:val="TableContents"/>
              <w:bidi w:val="0"/>
              <w:spacing w:before="0" w:after="283"/>
              <w:jc w:val="left"/>
              <w:rPr>
                <w:sz w:val="20"/>
              </w:rPr>
            </w:pPr>
            <w:r>
              <w:rPr>
                <w:sz w:val="20"/>
              </w:rPr>
              <w:t>101.LAB</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sz w:val="20"/>
              </w:rPr>
            </w:pPr>
            <w:r>
              <w:rPr>
                <w:sz w:val="20"/>
              </w:rPr>
              <w:t>Inline XBRL Taxonomy Extension Label Linkbase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sz w:val="20"/>
              </w:rPr>
            </w:pPr>
            <w:r>
              <w:rPr>
                <w:sz w:val="20"/>
              </w:rPr>
              <w:t>Filed</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 </w:t>
            </w:r>
          </w:p>
        </w:tc>
      </w:tr>
      <w:tr>
        <w:trPr/>
        <w:tc>
          <w:tcPr>
            <w:tcW w:w="585" w:type="dxa"/>
            <w:tcBorders/>
            <w:shd w:fill="FFFFFF" w:val="clear"/>
            <w:vAlign w:val="center"/>
          </w:tcPr>
          <w:p>
            <w:pPr>
              <w:pStyle w:val="TableContents"/>
              <w:bidi w:val="0"/>
              <w:spacing w:before="0" w:after="283"/>
              <w:jc w:val="left"/>
              <w:rPr>
                <w:sz w:val="20"/>
              </w:rPr>
            </w:pPr>
            <w:r>
              <w:rPr>
                <w:sz w:val="20"/>
              </w:rPr>
              <w:t>101.PRE</w:t>
            </w:r>
          </w:p>
        </w:tc>
        <w:tc>
          <w:tcPr>
            <w:tcW w:w="60" w:type="dxa"/>
            <w:tcBorders/>
            <w:shd w:fill="FFFFFF" w:val="clear"/>
            <w:vAlign w:val="center"/>
          </w:tcPr>
          <w:p>
            <w:pPr>
              <w:pStyle w:val="TableContents"/>
              <w:bidi w:val="0"/>
              <w:spacing w:before="0" w:after="283"/>
              <w:jc w:val="left"/>
              <w:rPr/>
            </w:pPr>
            <w:r>
              <w:rPr/>
              <w:t> </w:t>
            </w:r>
          </w:p>
        </w:tc>
        <w:tc>
          <w:tcPr>
            <w:tcW w:w="7579" w:type="dxa"/>
            <w:tcBorders/>
            <w:shd w:fill="FFFFFF" w:val="clear"/>
            <w:vAlign w:val="center"/>
          </w:tcPr>
          <w:p>
            <w:pPr>
              <w:pStyle w:val="TableContents"/>
              <w:bidi w:val="0"/>
              <w:spacing w:before="0" w:after="283"/>
              <w:jc w:val="left"/>
              <w:rPr>
                <w:sz w:val="20"/>
              </w:rPr>
            </w:pPr>
            <w:r>
              <w:rPr>
                <w:sz w:val="20"/>
              </w:rPr>
              <w:t>Inline XBRL Taxonomy Extension Presentation Linkbase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sz w:val="20"/>
              </w:rPr>
            </w:pPr>
            <w:r>
              <w:rPr>
                <w:sz w:val="20"/>
              </w:rPr>
              <w:t>Filed</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pPr>
            <w:r>
              <w:rPr/>
              <w:t> </w:t>
            </w:r>
          </w:p>
        </w:tc>
      </w:tr>
      <w:tr>
        <w:trPr/>
        <w:tc>
          <w:tcPr>
            <w:tcW w:w="585" w:type="dxa"/>
            <w:tcBorders/>
            <w:shd w:fill="CCEEFF" w:val="clear"/>
            <w:vAlign w:val="center"/>
          </w:tcPr>
          <w:p>
            <w:pPr>
              <w:pStyle w:val="TableContents"/>
              <w:bidi w:val="0"/>
              <w:spacing w:before="0" w:after="283"/>
              <w:jc w:val="left"/>
              <w:rPr>
                <w:sz w:val="20"/>
              </w:rPr>
            </w:pPr>
            <w:r>
              <w:rPr>
                <w:sz w:val="20"/>
              </w:rPr>
              <w:t>107</w:t>
            </w:r>
          </w:p>
        </w:tc>
        <w:tc>
          <w:tcPr>
            <w:tcW w:w="60" w:type="dxa"/>
            <w:tcBorders/>
            <w:shd w:fill="CCEEFF" w:val="clear"/>
            <w:vAlign w:val="center"/>
          </w:tcPr>
          <w:p>
            <w:pPr>
              <w:pStyle w:val="TableContents"/>
              <w:bidi w:val="0"/>
              <w:spacing w:before="0" w:after="283"/>
              <w:jc w:val="left"/>
              <w:rPr/>
            </w:pPr>
            <w:r>
              <w:rPr/>
              <w:t> </w:t>
            </w:r>
          </w:p>
        </w:tc>
        <w:tc>
          <w:tcPr>
            <w:tcW w:w="7579" w:type="dxa"/>
            <w:tcBorders/>
            <w:shd w:fill="CCEEFF" w:val="clear"/>
            <w:vAlign w:val="center"/>
          </w:tcPr>
          <w:p>
            <w:pPr>
              <w:pStyle w:val="TableContents"/>
              <w:bidi w:val="0"/>
              <w:spacing w:before="0" w:after="283"/>
              <w:jc w:val="left"/>
              <w:rPr/>
            </w:pPr>
            <w:hyperlink r:id="rId54">
              <w:r>
                <w:rPr>
                  <w:rStyle w:val="InternetLink"/>
                  <w:sz w:val="20"/>
                </w:rPr>
                <w:t>Filing Fee Table</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center"/>
              <w:rPr/>
            </w:pPr>
            <w:r>
              <w:rPr/>
              <w:t>S-1</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107</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center"/>
              <w:rPr/>
            </w:pPr>
            <w:r>
              <w:rPr/>
              <w:t>6/5/26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w:t>
            </w:r>
          </w:p>
        </w:tc>
        <w:tc>
          <w:tcPr>
            <w:tcW w:w="9977" w:type="dxa"/>
            <w:tcBorders/>
            <w:vAlign w:val="center"/>
          </w:tcPr>
          <w:p>
            <w:pPr>
              <w:pStyle w:val="TableContents"/>
              <w:bidi w:val="0"/>
              <w:spacing w:before="0" w:after="283"/>
              <w:jc w:val="both"/>
              <w:rPr>
                <w:sz w:val="20"/>
              </w:rPr>
            </w:pPr>
            <w:r>
              <w:rPr>
                <w:sz w:val="20"/>
              </w:rPr>
              <w:t>Certain schedules, appendices and exhibits to this agreement have been omitted in accordance with Item 601(b)(2) of Regulation S-K. A copy of any omitted schedule and/or exhibit will be furnished supplementally to the SEC Staff upon request.</w:t>
            </w:r>
          </w:p>
        </w:tc>
      </w:tr>
      <w:tr>
        <w:trPr/>
        <w:tc>
          <w:tcPr>
            <w:tcW w:w="228" w:type="dxa"/>
            <w:tcBorders/>
            <w:vAlign w:val="center"/>
          </w:tcPr>
          <w:p>
            <w:pPr>
              <w:pStyle w:val="TableContents"/>
              <w:bidi w:val="0"/>
              <w:spacing w:before="0" w:after="283"/>
              <w:jc w:val="left"/>
              <w:rPr>
                <w:sz w:val="20"/>
              </w:rPr>
            </w:pPr>
            <w:r>
              <w:rPr>
                <w:sz w:val="20"/>
              </w:rPr>
              <w:t>#</w:t>
            </w:r>
          </w:p>
        </w:tc>
        <w:tc>
          <w:tcPr>
            <w:tcW w:w="9977" w:type="dxa"/>
            <w:tcBorders/>
            <w:vAlign w:val="center"/>
          </w:tcPr>
          <w:p>
            <w:pPr>
              <w:pStyle w:val="TableContents"/>
              <w:bidi w:val="0"/>
              <w:spacing w:before="0" w:after="283"/>
              <w:jc w:val="both"/>
              <w:rPr>
                <w:sz w:val="20"/>
              </w:rPr>
            </w:pPr>
            <w:r>
              <w:rPr>
                <w:sz w:val="20"/>
              </w:rPr>
              <w:t>Indicates management contract or compensatory plan, contract or agreement.</w:t>
            </w:r>
          </w:p>
        </w:tc>
      </w:tr>
      <w:tr>
        <w:trPr/>
        <w:tc>
          <w:tcPr>
            <w:tcW w:w="228" w:type="dxa"/>
            <w:tcBorders/>
            <w:vAlign w:val="center"/>
          </w:tcPr>
          <w:p>
            <w:pPr>
              <w:pStyle w:val="TableContents"/>
              <w:bidi w:val="0"/>
              <w:spacing w:before="0" w:after="283"/>
              <w:jc w:val="left"/>
              <w:rPr>
                <w:sz w:val="20"/>
              </w:rPr>
            </w:pPr>
            <w:r>
              <w:rPr>
                <w:sz w:val="20"/>
              </w:rPr>
              <w:t>*</w:t>
            </w:r>
          </w:p>
        </w:tc>
        <w:tc>
          <w:tcPr>
            <w:tcW w:w="9977" w:type="dxa"/>
            <w:tcBorders/>
            <w:vAlign w:val="center"/>
          </w:tcPr>
          <w:p>
            <w:pPr>
              <w:pStyle w:val="TableContents"/>
              <w:bidi w:val="0"/>
              <w:spacing w:before="0" w:after="283"/>
              <w:jc w:val="both"/>
              <w:rPr>
                <w:sz w:val="20"/>
              </w:rPr>
            </w:pPr>
            <w:r>
              <w:rPr>
                <w:sz w:val="20"/>
              </w:rPr>
              <w:t>Previously filed</w:t>
            </w:r>
          </w:p>
        </w:tc>
      </w:tr>
      <w:tr>
        <w:trPr/>
        <w:tc>
          <w:tcPr>
            <w:tcW w:w="228" w:type="dxa"/>
            <w:tcBorders/>
            <w:vAlign w:val="center"/>
          </w:tcPr>
          <w:p>
            <w:pPr>
              <w:pStyle w:val="TableContents"/>
              <w:bidi w:val="0"/>
              <w:spacing w:before="0" w:after="283"/>
              <w:jc w:val="left"/>
              <w:rPr>
                <w:sz w:val="20"/>
              </w:rPr>
            </w:pPr>
            <w:r>
              <w:rPr>
                <w:sz w:val="20"/>
              </w:rPr>
              <w:t>(1)</w:t>
            </w:r>
          </w:p>
        </w:tc>
        <w:tc>
          <w:tcPr>
            <w:tcW w:w="9977" w:type="dxa"/>
            <w:tcBorders/>
            <w:vAlign w:val="center"/>
          </w:tcPr>
          <w:p>
            <w:pPr>
              <w:pStyle w:val="TableContents"/>
              <w:bidi w:val="0"/>
              <w:spacing w:before="0" w:after="283"/>
              <w:jc w:val="both"/>
              <w:rPr>
                <w:sz w:val="20"/>
              </w:rPr>
            </w:pPr>
            <w:r>
              <w:rPr>
                <w:sz w:val="20"/>
              </w:rPr>
              <w:t>Filed herein</w:t>
            </w:r>
          </w:p>
        </w:tc>
      </w:tr>
      <w:tr>
        <w:trPr/>
        <w:tc>
          <w:tcPr>
            <w:tcW w:w="228" w:type="dxa"/>
            <w:tcBorders/>
            <w:vAlign w:val="center"/>
          </w:tcPr>
          <w:p>
            <w:pPr>
              <w:pStyle w:val="TableContents"/>
              <w:bidi w:val="0"/>
              <w:spacing w:before="0" w:after="283"/>
              <w:jc w:val="left"/>
              <w:rPr>
                <w:sz w:val="20"/>
              </w:rPr>
            </w:pPr>
            <w:r>
              <w:rPr>
                <w:sz w:val="20"/>
              </w:rPr>
              <w:t>(2)</w:t>
            </w:r>
          </w:p>
        </w:tc>
        <w:tc>
          <w:tcPr>
            <w:tcW w:w="9977" w:type="dxa"/>
            <w:tcBorders/>
            <w:vAlign w:val="center"/>
          </w:tcPr>
          <w:p>
            <w:pPr>
              <w:pStyle w:val="TableContents"/>
              <w:bidi w:val="0"/>
              <w:spacing w:before="0" w:after="283"/>
              <w:jc w:val="both"/>
              <w:rPr>
                <w:sz w:val="20"/>
              </w:rPr>
            </w:pPr>
            <w:r>
              <w:rPr>
                <w:sz w:val="20"/>
              </w:rPr>
              <w:t>Furnished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3" w:name="s1_028"/>
      <w:bookmarkEnd w:id="453"/>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on this 9th day of July, 2026.</w:t>
      </w:r>
    </w:p>
    <w:p>
      <w:pPr>
        <w:pStyle w:val="TextBody"/>
        <w:bidi w:val="0"/>
        <w:spacing w:before="0" w:after="0"/>
        <w:ind w:left="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560"/>
        <w:gridCol w:w="2345"/>
        <w:gridCol w:w="75"/>
      </w:tblGrid>
      <w:tr>
        <w:trPr/>
        <w:tc>
          <w:tcPr>
            <w:tcW w:w="560" w:type="dxa"/>
            <w:tcBorders/>
            <w:vAlign w:val="center"/>
          </w:tcPr>
          <w:p>
            <w:pPr>
              <w:pStyle w:val="TableContents"/>
              <w:bidi w:val="0"/>
              <w:spacing w:before="0" w:after="283"/>
              <w:jc w:val="left"/>
              <w:rPr>
                <w:sz w:val="20"/>
              </w:rPr>
            </w:pPr>
            <w:r>
              <w:rPr>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Sumit Kapur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2345" w:type="dxa"/>
            <w:tcBorders/>
            <w:vAlign w:val="center"/>
          </w:tcPr>
          <w:p>
            <w:pPr>
              <w:pStyle w:val="TableContents"/>
              <w:bidi w:val="0"/>
              <w:spacing w:before="0" w:after="283"/>
              <w:jc w:val="left"/>
              <w:rPr>
                <w:sz w:val="20"/>
              </w:rPr>
            </w:pPr>
            <w:r>
              <w:rPr>
                <w:sz w:val="20"/>
              </w:rPr>
              <w:t>Sumit Kapur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8505" w:type="dxa"/>
        <w:jc w:val="left"/>
        <w:tblInd w:w="0" w:type="dxa"/>
        <w:tblLayout w:type="fixed"/>
        <w:tblCellMar>
          <w:top w:w="0" w:type="dxa"/>
          <w:left w:w="0" w:type="dxa"/>
          <w:bottom w:w="28" w:type="dxa"/>
          <w:right w:w="0" w:type="dxa"/>
        </w:tblCellMar>
      </w:tblPr>
      <w:tblGrid>
        <w:gridCol w:w="1745"/>
        <w:gridCol w:w="60"/>
        <w:gridCol w:w="5600"/>
        <w:gridCol w:w="60"/>
        <w:gridCol w:w="1040"/>
      </w:tblGrid>
      <w:tr>
        <w:trPr/>
        <w:tc>
          <w:tcPr>
            <w:tcW w:w="174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5600"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left"/>
              <w:rPr>
                <w:sz w:val="20"/>
              </w:rPr>
            </w:pPr>
            <w:r>
              <w:rPr>
                <w:sz w:val="20"/>
              </w:rPr>
              <w:t>/s/ Sumit Kapur</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sz w:val="20"/>
              </w:rPr>
            </w:pPr>
            <w:r>
              <w:rPr>
                <w:sz w:val="20"/>
              </w:rPr>
              <w:t>Chief Executive Officer, Chief Financial Officer</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sz w:val="20"/>
              </w:rPr>
            </w:pPr>
            <w:r>
              <w:rPr>
                <w:sz w:val="20"/>
              </w:rPr>
              <w:t>July 9, 2026</w:t>
            </w:r>
          </w:p>
        </w:tc>
      </w:tr>
      <w:tr>
        <w:trPr/>
        <w:tc>
          <w:tcPr>
            <w:tcW w:w="1745" w:type="dxa"/>
            <w:tcBorders/>
            <w:tcMar>
              <w:bottom w:w="0" w:type="dxa"/>
            </w:tcMar>
            <w:vAlign w:val="center"/>
          </w:tcPr>
          <w:p>
            <w:pPr>
              <w:pStyle w:val="TableContents"/>
              <w:bidi w:val="0"/>
              <w:spacing w:before="0" w:after="283"/>
              <w:jc w:val="left"/>
              <w:rPr>
                <w:sz w:val="20"/>
              </w:rPr>
            </w:pPr>
            <w:r>
              <w:rPr>
                <w:sz w:val="20"/>
              </w:rPr>
              <w:t>Sumit Kapur</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sz w:val="20"/>
              </w:rPr>
            </w:pPr>
            <w:r>
              <w:rPr>
                <w:sz w:val="20"/>
              </w:rPr>
              <w:t>(Principal Executive, Financial and Accounting Officer) and Director</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left"/>
              <w:rPr>
                <w:sz w:val="20"/>
              </w:rPr>
            </w:pPr>
            <w:r>
              <w:rPr>
                <w:sz w:val="20"/>
              </w:rPr>
              <w:t>/s/ Clark Golestani</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sz w:val="20"/>
              </w:rPr>
            </w:pPr>
            <w:r>
              <w:rPr>
                <w:sz w:val="20"/>
              </w:rPr>
              <w:t>July 9, 2026</w:t>
            </w:r>
          </w:p>
        </w:tc>
      </w:tr>
      <w:tr>
        <w:trPr/>
        <w:tc>
          <w:tcPr>
            <w:tcW w:w="1745" w:type="dxa"/>
            <w:tcBorders/>
            <w:tcMar>
              <w:bottom w:w="0" w:type="dxa"/>
            </w:tcMar>
            <w:vAlign w:val="center"/>
          </w:tcPr>
          <w:p>
            <w:pPr>
              <w:pStyle w:val="TableContents"/>
              <w:bidi w:val="0"/>
              <w:spacing w:before="0" w:after="283"/>
              <w:jc w:val="left"/>
              <w:rPr>
                <w:sz w:val="20"/>
              </w:rPr>
            </w:pPr>
            <w:r>
              <w:rPr>
                <w:sz w:val="20"/>
              </w:rPr>
              <w:t>Clark Golestani</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bottom w:val="single" w:sz="8" w:space="0" w:color="000000"/>
            </w:tcBorders>
            <w:vAlign w:val="center"/>
          </w:tcPr>
          <w:p>
            <w:pPr>
              <w:pStyle w:val="TableContents"/>
              <w:bidi w:val="0"/>
              <w:spacing w:before="0" w:after="283"/>
              <w:jc w:val="left"/>
              <w:rPr>
                <w:sz w:val="20"/>
              </w:rPr>
            </w:pPr>
            <w:r>
              <w:rPr>
                <w:sz w:val="20"/>
              </w:rPr>
              <w:t>/s/ William Klitgaard</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sz w:val="20"/>
              </w:rPr>
            </w:pPr>
            <w:r>
              <w:rPr>
                <w:sz w:val="20"/>
              </w:rPr>
              <w:t>July 9, 2026</w:t>
            </w:r>
          </w:p>
        </w:tc>
      </w:tr>
      <w:tr>
        <w:trPr/>
        <w:tc>
          <w:tcPr>
            <w:tcW w:w="1745" w:type="dxa"/>
            <w:tcBorders/>
            <w:tcMar>
              <w:bottom w:w="0" w:type="dxa"/>
            </w:tcMar>
            <w:vAlign w:val="center"/>
          </w:tcPr>
          <w:p>
            <w:pPr>
              <w:pStyle w:val="TableContents"/>
              <w:bidi w:val="0"/>
              <w:spacing w:before="0" w:after="283"/>
              <w:jc w:val="left"/>
              <w:rPr>
                <w:sz w:val="20"/>
              </w:rPr>
            </w:pPr>
            <w:r>
              <w:rPr>
                <w:sz w:val="20"/>
              </w:rPr>
              <w:t>William Klitgaard</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54" w:name="zpat_ex2302.htm"/>
      <w:bookmarkStart w:id="455" w:name="kszpat_ex2302"/>
      <w:bookmarkEnd w:id="454"/>
      <w:bookmarkEnd w:id="455"/>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Amendment No. 1 to the Registration Statement on Form S-1/A (File 333-296525) of Zapata Quantum, Inc. of our report dated March 31, 2026, which includes an explanatory paragraph regarding the Company’s ability to continue as a going concern, relating to the consolidated financial statements of Zapata Quantum, Inc. as of and for the years ended December 31, 2025 and 2024, which appear in Zapata Quantum, Inc.’s Annual Report on Form 10-K for the fiscal year ended December 31, 2025, filed with the Securities and Exchange Commission. We also consent to the reference to our firm under the caption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43714/000119312523229092/d539142dex21.htm" TargetMode="External"/><Relationship Id="rId4" Type="http://schemas.openxmlformats.org/officeDocument/2006/relationships/hyperlink" Target="http://www.sec.gov/Archives/edgar/data/1843714/000119312524085161/d13242dex31.htm" TargetMode="External"/><Relationship Id="rId5" Type="http://schemas.openxmlformats.org/officeDocument/2006/relationships/hyperlink" Target="http://www.sec.gov/Archives/edgar/data/1843714/000107997325001390/ex3x1.htm" TargetMode="External"/><Relationship Id="rId6" Type="http://schemas.openxmlformats.org/officeDocument/2006/relationships/hyperlink" Target="http://www.sec.gov/Archives/edgar/data/1843714/000119312524085161/d13242dex32.htm" TargetMode="External"/><Relationship Id="rId7" Type="http://schemas.openxmlformats.org/officeDocument/2006/relationships/hyperlink" Target="http://www.sec.gov/Archives/edgar/data/1843714/000107997325001650/ex4x1.htm" TargetMode="External"/><Relationship Id="rId8" Type="http://schemas.openxmlformats.org/officeDocument/2006/relationships/hyperlink" Target="http://www.sec.gov/Archives/edgar/data/1843714/000107997325001182/ex4x1.htm" TargetMode="External"/><Relationship Id="rId9" Type="http://schemas.openxmlformats.org/officeDocument/2006/relationships/hyperlink" Target="http://www.sec.gov/Archives/edgar/data/1843714/000107997325001665/ex4x1.htm" TargetMode="External"/><Relationship Id="rId10" Type="http://schemas.openxmlformats.org/officeDocument/2006/relationships/hyperlink" Target="https://www.sec.gov/Archives/edgar/data/1843714/000107997326000454/ex3x1.htm" TargetMode="External"/><Relationship Id="rId11" Type="http://schemas.openxmlformats.org/officeDocument/2006/relationships/hyperlink" Target="http://www.sec.gov/Archives/edgar/data/1843714/000155335025000061/ex4x1.htm" TargetMode="External"/><Relationship Id="rId12" Type="http://schemas.openxmlformats.org/officeDocument/2006/relationships/hyperlink" Target="http://www.sec.gov/Archives/edgar/data/1843714/000155335025000061/ex4x2.htm" TargetMode="External"/><Relationship Id="rId13" Type="http://schemas.openxmlformats.org/officeDocument/2006/relationships/hyperlink" Target="https://www.sec.gov/Archives/edgar/data/1843714/000107997326000454/ex4x1.htm" TargetMode="External"/><Relationship Id="rId14" Type="http://schemas.openxmlformats.org/officeDocument/2006/relationships/hyperlink" Target="http://www.sec.gov/Archives/edgar/data/1843714/000119312522078463/d249985dex46.htm" TargetMode="External"/><Relationship Id="rId15" Type="http://schemas.openxmlformats.org/officeDocument/2006/relationships/hyperlink" Target="http://www.sec.gov/Archives/edgar/data/1843714/000119312522012632/d288078dex41.htm" TargetMode="External"/><Relationship Id="rId16" Type="http://schemas.openxmlformats.org/officeDocument/2006/relationships/hyperlink" Target="http://www.sec.gov/Archives/edgar/data/1843714/000119312522012632/d288078dex42.htm" TargetMode="External"/><Relationship Id="rId17" Type="http://schemas.openxmlformats.org/officeDocument/2006/relationships/hyperlink" Target="https://www.sec.gov/Archives/edgar/data/1843714/000168316826004579/zpat_ex0501.htm" TargetMode="External"/><Relationship Id="rId18" Type="http://schemas.openxmlformats.org/officeDocument/2006/relationships/hyperlink" Target="http://www.sec.gov/Archives/edgar/data/1843714/000107997325001650/ex10x1.htm" TargetMode="External"/><Relationship Id="rId19" Type="http://schemas.openxmlformats.org/officeDocument/2006/relationships/hyperlink" Target="http://www.sec.gov/Archives/edgar/data/1843714/000107997325001650/ex10x2.htm" TargetMode="External"/><Relationship Id="rId20" Type="http://schemas.openxmlformats.org/officeDocument/2006/relationships/hyperlink" Target="http://www.sec.gov/Archives/edgar/data/1843714/000107997325001613/ex10x1.htm" TargetMode="External"/><Relationship Id="rId21" Type="http://schemas.openxmlformats.org/officeDocument/2006/relationships/hyperlink" Target="http://www.sec.gov/Archives/edgar/data/1843714/000107997325001378/ex10x1.htm" TargetMode="External"/><Relationship Id="rId22" Type="http://schemas.openxmlformats.org/officeDocument/2006/relationships/hyperlink" Target="http://www.sec.gov/Archives/edgar/data/1843714/000155335025000061/ex10x1.htm" TargetMode="External"/><Relationship Id="rId23" Type="http://schemas.openxmlformats.org/officeDocument/2006/relationships/hyperlink" Target="http://www.sec.gov/Archives/edgar/data/1843714/000155335025000061/ex10x2.htm" TargetMode="External"/><Relationship Id="rId24" Type="http://schemas.openxmlformats.org/officeDocument/2006/relationships/hyperlink" Target="http://www.sec.gov/Archives/edgar/data/1843714/000155335025000061/ex10x3.htm" TargetMode="External"/><Relationship Id="rId25" Type="http://schemas.openxmlformats.org/officeDocument/2006/relationships/hyperlink" Target="http://www.sec.gov/Archives/edgar/data/1843714/000155335025000061/ex10x4.htm" TargetMode="External"/><Relationship Id="rId26" Type="http://schemas.openxmlformats.org/officeDocument/2006/relationships/hyperlink" Target="http://www.sec.gov/Archives/edgar/data/1843714/000155335025000061/ex10x5.htm" TargetMode="External"/><Relationship Id="rId27" Type="http://schemas.openxmlformats.org/officeDocument/2006/relationships/hyperlink" Target="http://www.sec.gov/Archives/edgar/data/1843714/000155335025000061/ex10x6.htm" TargetMode="External"/><Relationship Id="rId28" Type="http://schemas.openxmlformats.org/officeDocument/2006/relationships/hyperlink" Target="http://www.sec.gov/Archives/edgar/data/1843714/000095017024097220/ck0001843714-ex10_29.htm" TargetMode="External"/><Relationship Id="rId29" Type="http://schemas.openxmlformats.org/officeDocument/2006/relationships/hyperlink" Target="http://www.sec.gov/Archives/edgar/data/1843714/000095017024097220/ck0001843714-ex10_32.htm" TargetMode="External"/><Relationship Id="rId30" Type="http://schemas.openxmlformats.org/officeDocument/2006/relationships/hyperlink" Target="http://www.sec.gov/Archives/edgar/data/1843714/000095017024097220/ck0001843714-ex10_33.htm" TargetMode="External"/><Relationship Id="rId31" Type="http://schemas.openxmlformats.org/officeDocument/2006/relationships/hyperlink" Target="http://www.sec.gov/Archives/edgar/data/1843714/000119312524161786/d825491dex994.htm" TargetMode="External"/><Relationship Id="rId32" Type="http://schemas.openxmlformats.org/officeDocument/2006/relationships/hyperlink" Target="http://www.sec.gov/Archives/edgar/data/1843714/000119312524161786/d825491dex995.htm" TargetMode="External"/><Relationship Id="rId33" Type="http://schemas.openxmlformats.org/officeDocument/2006/relationships/hyperlink" Target="http://www.sec.gov/Archives/edgar/data/1843714/000119312524137298/d810168dex101.htm" TargetMode="External"/><Relationship Id="rId34" Type="http://schemas.openxmlformats.org/officeDocument/2006/relationships/hyperlink" Target="http://www.sec.gov/Archives/edgar/data/1843714/000119312524085161/d13242dex104.htm" TargetMode="External"/><Relationship Id="rId35" Type="http://schemas.openxmlformats.org/officeDocument/2006/relationships/hyperlink" Target="http://www.sec.gov/Archives/edgar/data/1843714/000119312524085161/d13242dex105.htm" TargetMode="External"/><Relationship Id="rId36" Type="http://schemas.openxmlformats.org/officeDocument/2006/relationships/hyperlink" Target="http://www.sec.gov/Archives/edgar/data/1843714/000119312524085161/d13242dex106.htm" TargetMode="External"/><Relationship Id="rId37" Type="http://schemas.openxmlformats.org/officeDocument/2006/relationships/hyperlink" Target="http://www.sec.gov/Archives/edgar/data/1843714/000119312524085161/d13242dex107.htm" TargetMode="External"/><Relationship Id="rId38" Type="http://schemas.openxmlformats.org/officeDocument/2006/relationships/hyperlink" Target="http://www.sec.gov/Archives/edgar/data/1843714/000119312524085161/d13242dex108.htm" TargetMode="External"/><Relationship Id="rId39" Type="http://schemas.openxmlformats.org/officeDocument/2006/relationships/hyperlink" Target="http://www.sec.gov/Archives/edgar/data/1843714/000119312524085161/d13242dex109.htm" TargetMode="External"/><Relationship Id="rId40" Type="http://schemas.openxmlformats.org/officeDocument/2006/relationships/hyperlink" Target="http://www.sec.gov/Archives/edgar/data/1843714/000119312524085161/d13242dex1024.htm" TargetMode="External"/><Relationship Id="rId41" Type="http://schemas.openxmlformats.org/officeDocument/2006/relationships/hyperlink" Target="http://www.sec.gov/Archives/edgar/data/1843714/000119312524085161/d13242dex1035.htm" TargetMode="External"/><Relationship Id="rId42" Type="http://schemas.openxmlformats.org/officeDocument/2006/relationships/hyperlink" Target="http://www.sec.gov/Archives/edgar/data/1843714/000119312524085161/d13242dex1036.htm" TargetMode="External"/><Relationship Id="rId43" Type="http://schemas.openxmlformats.org/officeDocument/2006/relationships/hyperlink" Target="http://www.sec.gov/Archives/edgar/data/1843714/000119312524085161/d13242dex1037.htm" TargetMode="External"/><Relationship Id="rId44" Type="http://schemas.openxmlformats.org/officeDocument/2006/relationships/hyperlink" Target="http://www.sec.gov/Archives/edgar/data/1843714/000095014224000784/eh240461749_ex1001.htm" TargetMode="External"/><Relationship Id="rId45" Type="http://schemas.openxmlformats.org/officeDocument/2006/relationships/hyperlink" Target="http://www.sec.gov/Archives/edgar/data/1843714/000095014224000784/eh240461749_ex1002.htm" TargetMode="External"/><Relationship Id="rId46" Type="http://schemas.openxmlformats.org/officeDocument/2006/relationships/hyperlink" Target="http://www.sec.gov/Archives/edgar/data/1843714/000119312523287558/d469525dex107.htm" TargetMode="External"/><Relationship Id="rId47" Type="http://schemas.openxmlformats.org/officeDocument/2006/relationships/hyperlink" Target="http://www.sec.gov/Archives/edgar/data/1843714/000119312523301790/d469525dex1013.htm" TargetMode="External"/><Relationship Id="rId48" Type="http://schemas.openxmlformats.org/officeDocument/2006/relationships/hyperlink" Target="https://www.sec.gov/Archives/edgar/data/1843714/000107997326000454/ex10x1.htm" TargetMode="External"/><Relationship Id="rId49" Type="http://schemas.openxmlformats.org/officeDocument/2006/relationships/hyperlink" Target="https://www.sec.gov/Archives/edgar/data/1843714/000107997326000454/ex10x2.htm" TargetMode="External"/><Relationship Id="rId50" Type="http://schemas.openxmlformats.org/officeDocument/2006/relationships/hyperlink" Target="http://www.sec.gov/Archives/edgar/data/1843714/000107997325001177/ex16x1.htm" TargetMode="External"/><Relationship Id="rId51" Type="http://schemas.openxmlformats.org/officeDocument/2006/relationships/hyperlink" Target="http://www.sec.gov/Archives/edgar/data/1843714/000119312524085161/d13242dex161.htm" TargetMode="External"/><Relationship Id="rId52" Type="http://schemas.openxmlformats.org/officeDocument/2006/relationships/hyperlink" Target="http://www.sec.gov/Archives/edgar/data/1843714/000119312524085161/d13242dex211.htm" TargetMode="External"/><Relationship Id="rId53" Type="http://schemas.openxmlformats.org/officeDocument/2006/relationships/hyperlink" Target="https://www.sec.gov/Archives/edgar/data/1843714/000168316826004579/zpat_ex0501.htm" TargetMode="External"/><Relationship Id="rId54" Type="http://schemas.openxmlformats.org/officeDocument/2006/relationships/hyperlink" Target="https://www.sec.gov/ix?doc=/Archives/edgar/data/1843714/000168316826004579/zpat_ex107.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78664</Words>
  <Characters>437505</Characters>
  <CharactersWithSpaces>519830</CharactersWithSpaces>
  <Paragraphs>12799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